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7FF" w:rsidRPr="00860514" w:rsidRDefault="009137FF" w:rsidP="009137FF">
      <w:pPr>
        <w:pStyle w:val="Default"/>
        <w:rPr>
          <w:sz w:val="22"/>
          <w:szCs w:val="22"/>
        </w:rPr>
      </w:pPr>
      <w:r w:rsidRPr="00860514">
        <w:rPr>
          <w:b/>
          <w:bCs/>
          <w:sz w:val="22"/>
          <w:szCs w:val="22"/>
        </w:rPr>
        <w:t xml:space="preserve">Campbell &amp; Cochrane Economics Methods Group </w:t>
      </w:r>
    </w:p>
    <w:p w:rsidR="009137FF" w:rsidRPr="00860514" w:rsidRDefault="009137FF" w:rsidP="009137FF">
      <w:pPr>
        <w:pStyle w:val="Default"/>
        <w:rPr>
          <w:b/>
          <w:bCs/>
          <w:sz w:val="22"/>
          <w:szCs w:val="22"/>
        </w:rPr>
      </w:pPr>
    </w:p>
    <w:p w:rsidR="009137FF" w:rsidRPr="00860514" w:rsidRDefault="00085EF3" w:rsidP="009137FF">
      <w:pPr>
        <w:pStyle w:val="Default"/>
        <w:rPr>
          <w:sz w:val="22"/>
          <w:szCs w:val="22"/>
        </w:rPr>
      </w:pPr>
      <w:r w:rsidRPr="00860514">
        <w:rPr>
          <w:b/>
          <w:bCs/>
          <w:sz w:val="22"/>
          <w:szCs w:val="22"/>
        </w:rPr>
        <w:t xml:space="preserve">Update Report </w:t>
      </w:r>
      <w:r w:rsidR="001112BB">
        <w:rPr>
          <w:b/>
          <w:bCs/>
          <w:sz w:val="22"/>
          <w:szCs w:val="22"/>
        </w:rPr>
        <w:t xml:space="preserve">March </w:t>
      </w:r>
      <w:r w:rsidR="00651A99" w:rsidRPr="00860514">
        <w:rPr>
          <w:b/>
          <w:bCs/>
          <w:sz w:val="22"/>
          <w:szCs w:val="22"/>
        </w:rPr>
        <w:t>201</w:t>
      </w:r>
      <w:r w:rsidR="001112BB">
        <w:rPr>
          <w:b/>
          <w:bCs/>
          <w:sz w:val="22"/>
          <w:szCs w:val="22"/>
        </w:rPr>
        <w:t>8</w:t>
      </w:r>
      <w:r w:rsidR="009137FF" w:rsidRPr="00860514">
        <w:rPr>
          <w:b/>
          <w:bCs/>
          <w:sz w:val="22"/>
          <w:szCs w:val="22"/>
        </w:rPr>
        <w:t xml:space="preserve"> </w:t>
      </w:r>
    </w:p>
    <w:p w:rsidR="009137FF" w:rsidRPr="00860514" w:rsidRDefault="009137FF" w:rsidP="009137FF">
      <w:pPr>
        <w:pStyle w:val="Default"/>
        <w:rPr>
          <w:b/>
          <w:bCs/>
          <w:sz w:val="22"/>
          <w:szCs w:val="22"/>
        </w:rPr>
      </w:pPr>
    </w:p>
    <w:p w:rsidR="009137FF" w:rsidRPr="00860514" w:rsidRDefault="009137FF" w:rsidP="009137FF">
      <w:pPr>
        <w:pStyle w:val="Default"/>
        <w:rPr>
          <w:sz w:val="22"/>
          <w:szCs w:val="22"/>
        </w:rPr>
      </w:pPr>
      <w:r w:rsidRPr="00860514">
        <w:rPr>
          <w:b/>
          <w:bCs/>
          <w:sz w:val="22"/>
          <w:szCs w:val="22"/>
        </w:rPr>
        <w:t xml:space="preserve">Workshops and Colloquium </w:t>
      </w:r>
    </w:p>
    <w:p w:rsidR="009137FF" w:rsidRDefault="009137FF" w:rsidP="009137FF">
      <w:pPr>
        <w:pStyle w:val="Default"/>
        <w:rPr>
          <w:i/>
          <w:iCs/>
          <w:sz w:val="22"/>
          <w:szCs w:val="22"/>
        </w:rPr>
      </w:pPr>
    </w:p>
    <w:p w:rsidR="001112BB" w:rsidRDefault="001112BB" w:rsidP="009137FF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Cochrane Colloquium</w:t>
      </w:r>
    </w:p>
    <w:p w:rsidR="001112BB" w:rsidRPr="001112BB" w:rsidRDefault="001112BB" w:rsidP="009137FF">
      <w:pPr>
        <w:pStyle w:val="Default"/>
        <w:rPr>
          <w:iCs/>
          <w:sz w:val="22"/>
          <w:szCs w:val="22"/>
        </w:rPr>
      </w:pPr>
      <w:r w:rsidRPr="001112BB">
        <w:rPr>
          <w:iCs/>
          <w:sz w:val="22"/>
          <w:szCs w:val="22"/>
        </w:rPr>
        <w:t>Methods Workshops have been submitted on brief economic commentaries, full integrated reviews of economic evaluations (2 workshops) and a satellite workshop based on the Cochrane online module on health economics</w:t>
      </w:r>
    </w:p>
    <w:p w:rsidR="001112BB" w:rsidRDefault="001112BB" w:rsidP="009137FF">
      <w:pPr>
        <w:pStyle w:val="Default"/>
        <w:rPr>
          <w:i/>
          <w:iCs/>
          <w:sz w:val="22"/>
          <w:szCs w:val="22"/>
        </w:rPr>
      </w:pPr>
    </w:p>
    <w:p w:rsidR="001112BB" w:rsidRPr="00860514" w:rsidRDefault="001112BB" w:rsidP="001112BB">
      <w:pPr>
        <w:pStyle w:val="Default"/>
        <w:rPr>
          <w:b/>
          <w:bCs/>
          <w:sz w:val="22"/>
          <w:szCs w:val="22"/>
        </w:rPr>
      </w:pPr>
      <w:r w:rsidRPr="00860514">
        <w:rPr>
          <w:b/>
          <w:bCs/>
          <w:sz w:val="22"/>
          <w:szCs w:val="22"/>
        </w:rPr>
        <w:t>Wider Cochrane Developments</w:t>
      </w:r>
    </w:p>
    <w:p w:rsidR="001112BB" w:rsidRPr="00860514" w:rsidRDefault="001112BB" w:rsidP="001112BB">
      <w:pPr>
        <w:pStyle w:val="Default"/>
        <w:rPr>
          <w:b/>
          <w:bCs/>
          <w:sz w:val="22"/>
          <w:szCs w:val="22"/>
        </w:rPr>
      </w:pPr>
      <w:bookmarkStart w:id="0" w:name="_GoBack"/>
      <w:bookmarkEnd w:id="0"/>
    </w:p>
    <w:p w:rsidR="001112BB" w:rsidRPr="00860514" w:rsidRDefault="001112BB" w:rsidP="001112BB">
      <w:pPr>
        <w:pStyle w:val="Default"/>
        <w:rPr>
          <w:b/>
          <w:bCs/>
          <w:i/>
          <w:sz w:val="22"/>
          <w:szCs w:val="22"/>
        </w:rPr>
      </w:pPr>
      <w:r w:rsidRPr="00860514">
        <w:rPr>
          <w:b/>
          <w:bCs/>
          <w:i/>
          <w:sz w:val="22"/>
          <w:szCs w:val="22"/>
        </w:rPr>
        <w:t>Handbook</w:t>
      </w:r>
    </w:p>
    <w:p w:rsidR="001112BB" w:rsidRDefault="001112BB" w:rsidP="001112BB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 second draft of the </w:t>
      </w:r>
      <w:r w:rsidRPr="00860514">
        <w:rPr>
          <w:bCs/>
          <w:sz w:val="22"/>
          <w:szCs w:val="22"/>
        </w:rPr>
        <w:t xml:space="preserve">draft handbook chapter has been submitted to the handbook editors.  </w:t>
      </w:r>
      <w:r>
        <w:rPr>
          <w:bCs/>
          <w:sz w:val="22"/>
          <w:szCs w:val="22"/>
        </w:rPr>
        <w:t>This draft is currently about 6000 words and focuses on methods for brief economic commentaries.  The chapter is currently out at peer review</w:t>
      </w:r>
      <w:r w:rsidR="00593EF8">
        <w:rPr>
          <w:bCs/>
          <w:sz w:val="22"/>
          <w:szCs w:val="22"/>
        </w:rPr>
        <w:t xml:space="preserve">.  The draft chapter is embedded below.  </w:t>
      </w:r>
      <w:bookmarkStart w:id="1" w:name="_MON_1592645579"/>
      <w:bookmarkEnd w:id="1"/>
      <w:r w:rsidR="008A300F">
        <w:object w:dxaOrig="2069" w:dyaOrig="13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03.5pt;height:66.75pt" o:ole="">
            <v:imagedata r:id="rId5" o:title=""/>
          </v:shape>
          <o:OLEObject Type="Embed" ProgID="Word.Document.12" ShapeID="_x0000_i1029" DrawAspect="Icon" ObjectID="_1592645741" r:id="rId6">
            <o:FieldCodes>\s</o:FieldCodes>
          </o:OLEObject>
        </w:object>
      </w:r>
    </w:p>
    <w:p w:rsidR="001112BB" w:rsidRDefault="001112BB" w:rsidP="001112BB">
      <w:pPr>
        <w:pStyle w:val="Default"/>
        <w:rPr>
          <w:bCs/>
          <w:sz w:val="22"/>
          <w:szCs w:val="22"/>
        </w:rPr>
      </w:pPr>
    </w:p>
    <w:p w:rsidR="001112BB" w:rsidRPr="00860514" w:rsidRDefault="001112BB" w:rsidP="001112BB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 supplementary file based on the full integrated review is in preparation.  </w:t>
      </w:r>
    </w:p>
    <w:p w:rsidR="001112BB" w:rsidRDefault="001112BB" w:rsidP="009137FF">
      <w:pPr>
        <w:pStyle w:val="Default"/>
        <w:rPr>
          <w:i/>
          <w:iCs/>
          <w:sz w:val="22"/>
          <w:szCs w:val="22"/>
        </w:rPr>
      </w:pPr>
    </w:p>
    <w:p w:rsidR="001112BB" w:rsidRPr="00860514" w:rsidRDefault="001112BB" w:rsidP="001112BB">
      <w:pPr>
        <w:pStyle w:val="Default"/>
        <w:rPr>
          <w:b/>
          <w:bCs/>
          <w:i/>
          <w:sz w:val="22"/>
          <w:szCs w:val="22"/>
        </w:rPr>
      </w:pPr>
      <w:r w:rsidRPr="00860514">
        <w:rPr>
          <w:b/>
          <w:bCs/>
          <w:i/>
          <w:sz w:val="22"/>
          <w:szCs w:val="22"/>
        </w:rPr>
        <w:t>Papers</w:t>
      </w:r>
    </w:p>
    <w:p w:rsidR="001112BB" w:rsidRDefault="001112BB" w:rsidP="009137FF">
      <w:pPr>
        <w:pStyle w:val="Default"/>
        <w:rPr>
          <w:i/>
          <w:iCs/>
          <w:sz w:val="22"/>
          <w:szCs w:val="22"/>
        </w:rPr>
      </w:pPr>
    </w:p>
    <w:p w:rsidR="001112BB" w:rsidRDefault="001112BB" w:rsidP="001112BB">
      <w:pPr>
        <w:pStyle w:val="Default"/>
        <w:rPr>
          <w:bCs/>
          <w:sz w:val="22"/>
          <w:szCs w:val="22"/>
        </w:rPr>
      </w:pPr>
      <w:r w:rsidRPr="00860514">
        <w:rPr>
          <w:bCs/>
          <w:sz w:val="22"/>
          <w:szCs w:val="22"/>
        </w:rPr>
        <w:t xml:space="preserve">Patricia Aluko has completed a worked example of a full economic review as part of a Cochrane review with the eyes and vision group on “Interventions to increase the uptake of diabetic retinopathy screening.”  </w:t>
      </w:r>
      <w:r>
        <w:rPr>
          <w:bCs/>
          <w:sz w:val="22"/>
          <w:szCs w:val="22"/>
        </w:rPr>
        <w:t>The review is now published</w:t>
      </w:r>
    </w:p>
    <w:p w:rsidR="001112BB" w:rsidRDefault="008A300F" w:rsidP="001112BB">
      <w:pPr>
        <w:widowControl/>
        <w:shd w:val="clear" w:color="auto" w:fill="FFFFFF"/>
        <w:overflowPunct/>
        <w:autoSpaceDE/>
        <w:autoSpaceDN/>
        <w:adjustRightInd/>
        <w:spacing w:after="0" w:line="240" w:lineRule="auto"/>
        <w:rPr>
          <w:color w:val="222222"/>
        </w:rPr>
      </w:pPr>
      <w:hyperlink r:id="rId7" w:history="1">
        <w:r w:rsidR="001112BB">
          <w:rPr>
            <w:rStyle w:val="Hyperlink"/>
          </w:rPr>
          <w:t>Interventions to increase attendance for diabetic retinopathy screening</w:t>
        </w:r>
      </w:hyperlink>
      <w:r w:rsidR="001112BB">
        <w:rPr>
          <w:color w:val="222222"/>
        </w:rPr>
        <w:t xml:space="preserve">  JG Lawrenson, E Graham</w:t>
      </w:r>
      <w:r w:rsidR="001112BB">
        <w:rPr>
          <w:rFonts w:ascii="Cambria Math" w:hAnsi="Cambria Math" w:cs="Cambria Math"/>
          <w:color w:val="222222"/>
        </w:rPr>
        <w:t>‐</w:t>
      </w:r>
      <w:r w:rsidR="001112BB">
        <w:rPr>
          <w:color w:val="222222"/>
        </w:rPr>
        <w:t>Rowe, F Lorencatto, J Burr… - The Cochrane Library, 2018</w:t>
      </w:r>
    </w:p>
    <w:p w:rsidR="001112BB" w:rsidRDefault="001112BB" w:rsidP="009137FF">
      <w:pPr>
        <w:pStyle w:val="Default"/>
        <w:rPr>
          <w:i/>
          <w:iCs/>
          <w:sz w:val="22"/>
          <w:szCs w:val="22"/>
        </w:rPr>
      </w:pPr>
    </w:p>
    <w:p w:rsidR="001847E0" w:rsidRDefault="001847E0" w:rsidP="001847E0">
      <w:pPr>
        <w:widowControl/>
        <w:overflowPunct/>
        <w:spacing w:after="0" w:line="240" w:lineRule="auto"/>
        <w:rPr>
          <w:rFonts w:eastAsiaTheme="minorHAnsi"/>
          <w:color w:val="auto"/>
          <w:sz w:val="22"/>
          <w:szCs w:val="22"/>
          <w:lang w:eastAsia="en-US"/>
        </w:rPr>
      </w:pPr>
      <w:r w:rsidRPr="00860514">
        <w:rPr>
          <w:bCs/>
          <w:sz w:val="22"/>
          <w:szCs w:val="22"/>
        </w:rPr>
        <w:t>An NIHR Cochrane Programme Grant has been awarded by the Cochrane</w:t>
      </w:r>
      <w:r w:rsidRPr="00860514">
        <w:rPr>
          <w:rFonts w:eastAsiaTheme="minorHAnsi"/>
          <w:color w:val="auto"/>
          <w:kern w:val="0"/>
          <w:sz w:val="22"/>
          <w:szCs w:val="22"/>
          <w:lang w:eastAsia="en-US"/>
        </w:rPr>
        <w:t xml:space="preserve"> Gynaecological, Neuro-oncology &amp; Orphan </w:t>
      </w:r>
      <w:r w:rsidRPr="00860514">
        <w:rPr>
          <w:rFonts w:eastAsiaTheme="minorHAnsi"/>
          <w:color w:val="auto"/>
          <w:kern w:val="0"/>
          <w:sz w:val="22"/>
          <w:szCs w:val="22"/>
          <w:lang w:eastAsia="en-US"/>
        </w:rPr>
        <w:lastRenderedPageBreak/>
        <w:t>cancers (CGNOC)</w:t>
      </w:r>
      <w:r w:rsidRPr="00860514">
        <w:rPr>
          <w:rFonts w:eastAsiaTheme="minorHAnsi"/>
          <w:color w:val="auto"/>
          <w:sz w:val="22"/>
          <w:szCs w:val="22"/>
          <w:lang w:eastAsia="en-US"/>
        </w:rPr>
        <w:t>.  The title is “</w:t>
      </w:r>
      <w:r w:rsidRPr="00860514">
        <w:rPr>
          <w:rFonts w:eastAsiaTheme="minorHAnsi"/>
          <w:color w:val="auto"/>
          <w:kern w:val="0"/>
          <w:sz w:val="22"/>
          <w:szCs w:val="22"/>
          <w:lang w:eastAsia="en-US"/>
        </w:rPr>
        <w:t xml:space="preserve">Putting patients first - answering questions posed by James Lind Alliance partnerships in under-resourced </w:t>
      </w:r>
      <w:r w:rsidRPr="00860514">
        <w:rPr>
          <w:rFonts w:eastAsiaTheme="minorHAnsi"/>
          <w:color w:val="auto"/>
          <w:sz w:val="22"/>
          <w:szCs w:val="22"/>
          <w:lang w:eastAsia="en-US"/>
        </w:rPr>
        <w:t xml:space="preserve">cancer areas”   The proposal is to conduct and update a number of high priority reviews.  As part of this a number of brief economic commentaries and full economic reviews </w:t>
      </w:r>
      <w:r>
        <w:rPr>
          <w:rFonts w:eastAsiaTheme="minorHAnsi"/>
          <w:color w:val="auto"/>
          <w:sz w:val="22"/>
          <w:szCs w:val="22"/>
          <w:lang w:eastAsia="en-US"/>
        </w:rPr>
        <w:t>are being c</w:t>
      </w:r>
      <w:r w:rsidRPr="00860514">
        <w:rPr>
          <w:rFonts w:eastAsiaTheme="minorHAnsi"/>
          <w:color w:val="auto"/>
          <w:sz w:val="22"/>
          <w:szCs w:val="22"/>
          <w:lang w:eastAsia="en-US"/>
        </w:rPr>
        <w:t>onducted as further case studies</w:t>
      </w:r>
      <w:r>
        <w:rPr>
          <w:rFonts w:eastAsiaTheme="minorHAnsi"/>
          <w:color w:val="auto"/>
          <w:sz w:val="22"/>
          <w:szCs w:val="22"/>
          <w:lang w:eastAsia="en-US"/>
        </w:rPr>
        <w:t>.  The first of these should be published shortly.</w:t>
      </w:r>
      <w:r w:rsidR="001B7368">
        <w:rPr>
          <w:rFonts w:eastAsiaTheme="minorHAnsi"/>
          <w:color w:val="auto"/>
          <w:sz w:val="22"/>
          <w:szCs w:val="22"/>
          <w:lang w:eastAsia="en-US"/>
        </w:rPr>
        <w:t xml:space="preserve"> The summary is copied at the end of this document for information.</w:t>
      </w:r>
    </w:p>
    <w:p w:rsidR="001B7368" w:rsidRDefault="001B7368" w:rsidP="001847E0">
      <w:pPr>
        <w:widowControl/>
        <w:overflowPunct/>
        <w:spacing w:after="0" w:line="240" w:lineRule="auto"/>
        <w:rPr>
          <w:rFonts w:eastAsiaTheme="minorHAnsi"/>
          <w:color w:val="auto"/>
          <w:sz w:val="22"/>
          <w:szCs w:val="22"/>
          <w:lang w:eastAsia="en-US"/>
        </w:rPr>
      </w:pPr>
    </w:p>
    <w:p w:rsidR="001B7368" w:rsidRPr="001B7368" w:rsidRDefault="001B7368" w:rsidP="001B7368">
      <w:pPr>
        <w:pStyle w:val="Default"/>
        <w:rPr>
          <w:b/>
          <w:i/>
          <w:iCs/>
          <w:sz w:val="22"/>
          <w:szCs w:val="22"/>
        </w:rPr>
      </w:pPr>
      <w:r w:rsidRPr="001B7368">
        <w:rPr>
          <w:b/>
          <w:i/>
          <w:iCs/>
          <w:sz w:val="22"/>
          <w:szCs w:val="22"/>
        </w:rPr>
        <w:t>Campbell methods guide update</w:t>
      </w:r>
    </w:p>
    <w:p w:rsidR="001B7368" w:rsidRDefault="001B7368" w:rsidP="001B7368">
      <w:pPr>
        <w:pStyle w:val="Default"/>
        <w:rPr>
          <w:iCs/>
          <w:sz w:val="22"/>
          <w:szCs w:val="22"/>
        </w:rPr>
      </w:pPr>
    </w:p>
    <w:p w:rsidR="001B7368" w:rsidRPr="001112BB" w:rsidRDefault="001B7368" w:rsidP="001B7368">
      <w:pPr>
        <w:pStyle w:val="Default"/>
        <w:rPr>
          <w:iCs/>
          <w:sz w:val="22"/>
          <w:szCs w:val="22"/>
        </w:rPr>
      </w:pPr>
      <w:r>
        <w:rPr>
          <w:iCs/>
          <w:sz w:val="22"/>
          <w:szCs w:val="22"/>
        </w:rPr>
        <w:t>The following programme of work has been agreed and any volunteers to assist would be appreciated.</w:t>
      </w:r>
    </w:p>
    <w:p w:rsidR="001B7368" w:rsidRPr="00860514" w:rsidRDefault="001B7368" w:rsidP="001B7368">
      <w:pPr>
        <w:pStyle w:val="Default"/>
        <w:rPr>
          <w:rFonts w:eastAsia="Times New Roman"/>
          <w:bCs/>
          <w:color w:val="000000" w:themeColor="text1"/>
          <w:sz w:val="22"/>
          <w:szCs w:val="22"/>
          <w:lang w:eastAsia="en-ZA"/>
        </w:rPr>
      </w:pPr>
    </w:p>
    <w:p w:rsidR="001B7368" w:rsidRPr="00860514" w:rsidRDefault="001B7368" w:rsidP="001B7368">
      <w:pPr>
        <w:rPr>
          <w:rFonts w:eastAsia="Times New Roman"/>
          <w:sz w:val="22"/>
          <w:szCs w:val="22"/>
        </w:rPr>
      </w:pPr>
      <w:r w:rsidRPr="00860514">
        <w:rPr>
          <w:rFonts w:eastAsia="Times New Roman"/>
          <w:sz w:val="22"/>
          <w:szCs w:val="22"/>
        </w:rPr>
        <w:t>a) Review of systematic reviews reporting economic methods and outcomes in Campbell library</w:t>
      </w:r>
      <w:r>
        <w:rPr>
          <w:rFonts w:eastAsia="Times New Roman"/>
          <w:sz w:val="22"/>
          <w:szCs w:val="22"/>
        </w:rPr>
        <w:t xml:space="preserve"> (Denny John to Lead)</w:t>
      </w:r>
    </w:p>
    <w:p w:rsidR="001B7368" w:rsidRPr="00860514" w:rsidRDefault="001B7368" w:rsidP="001B7368">
      <w:pPr>
        <w:rPr>
          <w:rFonts w:eastAsia="Times New Roman"/>
          <w:sz w:val="22"/>
          <w:szCs w:val="22"/>
        </w:rPr>
      </w:pPr>
      <w:r w:rsidRPr="00860514">
        <w:rPr>
          <w:rFonts w:eastAsia="Times New Roman"/>
          <w:sz w:val="22"/>
          <w:szCs w:val="22"/>
        </w:rPr>
        <w:t>b) Discussion paper on Economic Evidence in Systematic Reviews</w:t>
      </w:r>
      <w:r>
        <w:rPr>
          <w:rFonts w:eastAsia="Times New Roman"/>
          <w:sz w:val="22"/>
          <w:szCs w:val="22"/>
        </w:rPr>
        <w:t xml:space="preserve">  </w:t>
      </w:r>
    </w:p>
    <w:p w:rsidR="001B7368" w:rsidRPr="00860514" w:rsidRDefault="001B7368" w:rsidP="001B7368">
      <w:pPr>
        <w:rPr>
          <w:rFonts w:eastAsia="Times New Roman"/>
          <w:sz w:val="22"/>
          <w:szCs w:val="22"/>
        </w:rPr>
      </w:pPr>
      <w:r w:rsidRPr="00860514">
        <w:rPr>
          <w:rFonts w:eastAsia="Times New Roman"/>
          <w:sz w:val="22"/>
          <w:szCs w:val="22"/>
        </w:rPr>
        <w:t>c) Update the Campbell Economic Methods Brief</w:t>
      </w:r>
    </w:p>
    <w:p w:rsidR="001B7368" w:rsidRPr="00860514" w:rsidRDefault="001B7368" w:rsidP="001B7368">
      <w:pPr>
        <w:rPr>
          <w:rFonts w:eastAsia="Times New Roman"/>
          <w:sz w:val="22"/>
          <w:szCs w:val="22"/>
        </w:rPr>
      </w:pPr>
      <w:r w:rsidRPr="00860514">
        <w:rPr>
          <w:rFonts w:eastAsia="Times New Roman"/>
          <w:sz w:val="22"/>
          <w:szCs w:val="22"/>
        </w:rPr>
        <w:t>d) Initiate some work on equity considerations in cost-effectiveness analysis</w:t>
      </w:r>
    </w:p>
    <w:p w:rsidR="001B7368" w:rsidRPr="00860514" w:rsidRDefault="001B7368" w:rsidP="001B7368">
      <w:pPr>
        <w:pStyle w:val="Default"/>
        <w:rPr>
          <w:bCs/>
          <w:sz w:val="22"/>
          <w:szCs w:val="22"/>
        </w:rPr>
      </w:pPr>
    </w:p>
    <w:p w:rsidR="001B7368" w:rsidRPr="00860514" w:rsidRDefault="001B7368" w:rsidP="001B7368">
      <w:pPr>
        <w:pStyle w:val="Default"/>
        <w:rPr>
          <w:b/>
          <w:bCs/>
          <w:i/>
          <w:sz w:val="22"/>
          <w:szCs w:val="22"/>
        </w:rPr>
      </w:pPr>
      <w:r w:rsidRPr="00860514">
        <w:rPr>
          <w:b/>
          <w:bCs/>
          <w:i/>
          <w:sz w:val="22"/>
          <w:szCs w:val="22"/>
        </w:rPr>
        <w:t>Training course:</w:t>
      </w:r>
    </w:p>
    <w:p w:rsidR="001B7368" w:rsidRDefault="001B7368" w:rsidP="001B7368">
      <w:pPr>
        <w:spacing w:after="0" w:line="240" w:lineRule="auto"/>
        <w:rPr>
          <w:bCs/>
          <w:color w:val="auto"/>
          <w:sz w:val="22"/>
          <w:szCs w:val="22"/>
        </w:rPr>
      </w:pPr>
    </w:p>
    <w:p w:rsidR="001B7368" w:rsidRPr="001B7368" w:rsidRDefault="001B7368" w:rsidP="001B7368">
      <w:pPr>
        <w:spacing w:after="0" w:line="240" w:lineRule="auto"/>
        <w:rPr>
          <w:bCs/>
          <w:i/>
          <w:color w:val="auto"/>
          <w:sz w:val="22"/>
          <w:szCs w:val="22"/>
        </w:rPr>
      </w:pPr>
      <w:r w:rsidRPr="001B7368">
        <w:rPr>
          <w:bCs/>
          <w:i/>
          <w:color w:val="auto"/>
          <w:sz w:val="22"/>
          <w:szCs w:val="22"/>
        </w:rPr>
        <w:t>Cochrane</w:t>
      </w:r>
    </w:p>
    <w:p w:rsidR="001B7368" w:rsidRDefault="001B7368" w:rsidP="001B7368">
      <w:pPr>
        <w:rPr>
          <w:bCs/>
          <w:color w:val="auto"/>
          <w:sz w:val="22"/>
          <w:szCs w:val="22"/>
        </w:rPr>
      </w:pPr>
      <w:r w:rsidRPr="00860514">
        <w:rPr>
          <w:bCs/>
          <w:color w:val="auto"/>
          <w:sz w:val="22"/>
          <w:szCs w:val="22"/>
        </w:rPr>
        <w:t xml:space="preserve">Revised online training module in health economics and cochrane has been prepared.  This is now </w:t>
      </w:r>
      <w:r>
        <w:rPr>
          <w:bCs/>
          <w:color w:val="auto"/>
          <w:sz w:val="22"/>
          <w:szCs w:val="22"/>
        </w:rPr>
        <w:t xml:space="preserve">available on line. </w:t>
      </w:r>
    </w:p>
    <w:p w:rsidR="001B7368" w:rsidRDefault="001B7368" w:rsidP="001B7368">
      <w:pPr>
        <w:rPr>
          <w:rFonts w:ascii="Calibri" w:eastAsiaTheme="minorHAnsi" w:hAnsi="Calibri" w:cs="Times New Roman"/>
          <w:color w:val="auto"/>
          <w:kern w:val="0"/>
          <w:sz w:val="22"/>
          <w:szCs w:val="22"/>
        </w:rPr>
      </w:pPr>
      <w:r>
        <w:t xml:space="preserve">“Interested in learning more about incorporating economic evidence into systematic review? Go on to </w:t>
      </w:r>
      <w:hyperlink r:id="rId8" w:history="1">
        <w:r>
          <w:rPr>
            <w:rStyle w:val="Hyperlink"/>
          </w:rPr>
          <w:t>http://training.cochrane.org/interactivelearning/module-9-introduction-health-economics</w:t>
        </w:r>
      </w:hyperlink>
      <w:r>
        <w:t xml:space="preserve"> for the health economics module written by Luke Vale,@</w:t>
      </w:r>
      <w:proofErr w:type="spellStart"/>
      <w:r>
        <w:t>patriciaHarluks</w:t>
      </w:r>
      <w:proofErr w:type="spellEnd"/>
      <w:r>
        <w:t xml:space="preserve"> and @</w:t>
      </w:r>
      <w:proofErr w:type="spellStart"/>
      <w:r>
        <w:t>idshemilt</w:t>
      </w:r>
      <w:proofErr w:type="spellEnd"/>
      <w:r>
        <w:t xml:space="preserve"> on behalf of @CCEMG. This is one of the 9 updated modules recently launched by @</w:t>
      </w:r>
      <w:proofErr w:type="spellStart"/>
      <w:r>
        <w:t>cochranecollab</w:t>
      </w:r>
      <w:proofErr w:type="spellEnd"/>
      <w:r>
        <w:t xml:space="preserve"> </w:t>
      </w:r>
    </w:p>
    <w:p w:rsidR="001B7368" w:rsidRPr="001B7368" w:rsidRDefault="001B7368" w:rsidP="001B7368">
      <w:pPr>
        <w:spacing w:after="0" w:line="240" w:lineRule="auto"/>
        <w:rPr>
          <w:bCs/>
          <w:color w:val="auto"/>
          <w:sz w:val="22"/>
          <w:szCs w:val="22"/>
        </w:rPr>
      </w:pPr>
    </w:p>
    <w:p w:rsidR="001B7368" w:rsidRDefault="001B7368" w:rsidP="001B7368">
      <w:pPr>
        <w:pStyle w:val="Default"/>
        <w:rPr>
          <w:b/>
          <w:bCs/>
          <w:i/>
          <w:sz w:val="22"/>
          <w:szCs w:val="22"/>
        </w:rPr>
      </w:pPr>
    </w:p>
    <w:p w:rsidR="001B7368" w:rsidRPr="001B7368" w:rsidRDefault="001B7368" w:rsidP="001B7368">
      <w:pPr>
        <w:pStyle w:val="Default"/>
        <w:rPr>
          <w:bCs/>
          <w:i/>
          <w:sz w:val="22"/>
          <w:szCs w:val="22"/>
        </w:rPr>
      </w:pPr>
      <w:r w:rsidRPr="001B7368">
        <w:rPr>
          <w:bCs/>
          <w:i/>
          <w:sz w:val="22"/>
          <w:szCs w:val="22"/>
        </w:rPr>
        <w:t>Campbell</w:t>
      </w:r>
    </w:p>
    <w:p w:rsidR="001B7368" w:rsidRPr="00860514" w:rsidRDefault="001B7368" w:rsidP="001B7368">
      <w:pPr>
        <w:pStyle w:val="Default"/>
        <w:rPr>
          <w:bCs/>
          <w:sz w:val="22"/>
          <w:szCs w:val="22"/>
        </w:rPr>
      </w:pPr>
      <w:r w:rsidRPr="00860514">
        <w:rPr>
          <w:bCs/>
          <w:sz w:val="22"/>
          <w:szCs w:val="22"/>
        </w:rPr>
        <w:t xml:space="preserve">In addition to the planned revision of training materials a workshop on systematic reviews is </w:t>
      </w:r>
      <w:r>
        <w:rPr>
          <w:bCs/>
          <w:sz w:val="22"/>
          <w:szCs w:val="22"/>
        </w:rPr>
        <w:t xml:space="preserve">was </w:t>
      </w:r>
      <w:r w:rsidRPr="00860514">
        <w:rPr>
          <w:bCs/>
          <w:sz w:val="22"/>
          <w:szCs w:val="22"/>
        </w:rPr>
        <w:t xml:space="preserve">planned for January 2018.  </w:t>
      </w:r>
      <w:r>
        <w:rPr>
          <w:bCs/>
          <w:sz w:val="22"/>
          <w:szCs w:val="22"/>
        </w:rPr>
        <w:t>This has been delayed until funding is secured.  The c</w:t>
      </w:r>
      <w:r w:rsidRPr="00860514">
        <w:rPr>
          <w:bCs/>
          <w:sz w:val="22"/>
          <w:szCs w:val="22"/>
        </w:rPr>
        <w:t>urrent draft agenda is attached:</w:t>
      </w:r>
    </w:p>
    <w:p w:rsidR="001B7368" w:rsidRPr="00860514" w:rsidRDefault="001B7368" w:rsidP="001B7368">
      <w:pPr>
        <w:pStyle w:val="Default"/>
        <w:rPr>
          <w:bCs/>
          <w:sz w:val="22"/>
          <w:szCs w:val="22"/>
        </w:rPr>
      </w:pPr>
    </w:p>
    <w:p w:rsidR="001B7368" w:rsidRPr="00860514" w:rsidRDefault="001B7368" w:rsidP="001B7368">
      <w:pPr>
        <w:pStyle w:val="Default"/>
        <w:rPr>
          <w:bCs/>
          <w:sz w:val="22"/>
          <w:szCs w:val="22"/>
        </w:rPr>
      </w:pPr>
      <w:r w:rsidRPr="00860514">
        <w:rPr>
          <w:sz w:val="22"/>
          <w:szCs w:val="22"/>
        </w:rPr>
        <w:object w:dxaOrig="1531" w:dyaOrig="1004">
          <v:shape id="_x0000_i1026" type="#_x0000_t75" style="width:76.5pt;height:50.25pt" o:ole="">
            <v:imagedata r:id="rId9" o:title=""/>
          </v:shape>
          <o:OLEObject Type="Embed" ProgID="Word.Document.12" ShapeID="_x0000_i1026" DrawAspect="Icon" ObjectID="_1592645742" r:id="rId10">
            <o:FieldCodes>\s</o:FieldCodes>
          </o:OLEObject>
        </w:object>
      </w:r>
    </w:p>
    <w:p w:rsidR="001B7368" w:rsidRDefault="001B7368" w:rsidP="001847E0">
      <w:pPr>
        <w:widowControl/>
        <w:overflowPunct/>
        <w:spacing w:after="0" w:line="240" w:lineRule="auto"/>
        <w:rPr>
          <w:rFonts w:eastAsiaTheme="minorHAnsi"/>
          <w:color w:val="auto"/>
          <w:sz w:val="22"/>
          <w:szCs w:val="22"/>
          <w:lang w:eastAsia="en-US"/>
        </w:rPr>
      </w:pPr>
    </w:p>
    <w:bookmarkStart w:id="2" w:name="_MON_1582554518"/>
    <w:bookmarkEnd w:id="2"/>
    <w:p w:rsidR="001847E0" w:rsidRDefault="001B7368" w:rsidP="001847E0">
      <w:pPr>
        <w:widowControl/>
        <w:overflowPunct/>
        <w:spacing w:after="0" w:line="240" w:lineRule="auto"/>
        <w:rPr>
          <w:rFonts w:eastAsiaTheme="minorHAnsi"/>
          <w:color w:val="auto"/>
          <w:sz w:val="22"/>
          <w:szCs w:val="22"/>
          <w:lang w:eastAsia="en-US"/>
        </w:rPr>
      </w:pPr>
      <w:r>
        <w:rPr>
          <w:rFonts w:eastAsiaTheme="minorHAnsi"/>
          <w:color w:val="auto"/>
          <w:sz w:val="22"/>
          <w:szCs w:val="22"/>
          <w:lang w:eastAsia="en-US"/>
        </w:rPr>
        <w:object w:dxaOrig="9026" w:dyaOrig="13543">
          <v:shape id="_x0000_i1027" type="#_x0000_t75" style="width:451.5pt;height:677.25pt" o:ole="">
            <v:imagedata r:id="rId11" o:title=""/>
          </v:shape>
          <o:OLEObject Type="Embed" ProgID="Word.Document.12" ShapeID="_x0000_i1027" DrawAspect="Content" ObjectID="_1592645743" r:id="rId12">
            <o:FieldCodes>\s</o:FieldCodes>
          </o:OLEObject>
        </w:object>
      </w:r>
    </w:p>
    <w:sectPr w:rsidR="001847E0" w:rsidSect="005732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C3B1E"/>
    <w:multiLevelType w:val="hybridMultilevel"/>
    <w:tmpl w:val="66320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12D54"/>
    <w:multiLevelType w:val="multilevel"/>
    <w:tmpl w:val="4AFE693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C7206D"/>
    <w:multiLevelType w:val="hybridMultilevel"/>
    <w:tmpl w:val="3E6E8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7FF"/>
    <w:rsid w:val="00085EF3"/>
    <w:rsid w:val="000D0506"/>
    <w:rsid w:val="001112BB"/>
    <w:rsid w:val="00133BC2"/>
    <w:rsid w:val="001847E0"/>
    <w:rsid w:val="001B7368"/>
    <w:rsid w:val="00213FA0"/>
    <w:rsid w:val="002F5197"/>
    <w:rsid w:val="00375BA8"/>
    <w:rsid w:val="00432211"/>
    <w:rsid w:val="004A6F5A"/>
    <w:rsid w:val="00593EF8"/>
    <w:rsid w:val="005E4BC2"/>
    <w:rsid w:val="00641DD9"/>
    <w:rsid w:val="00651A99"/>
    <w:rsid w:val="0073491F"/>
    <w:rsid w:val="00860514"/>
    <w:rsid w:val="008A300F"/>
    <w:rsid w:val="009137FF"/>
    <w:rsid w:val="00A61343"/>
    <w:rsid w:val="00A96F04"/>
    <w:rsid w:val="00AF503F"/>
    <w:rsid w:val="00B8538D"/>
    <w:rsid w:val="00BF7268"/>
    <w:rsid w:val="00DC7143"/>
    <w:rsid w:val="00ED5D7E"/>
    <w:rsid w:val="00F02C25"/>
    <w:rsid w:val="00F33CF0"/>
    <w:rsid w:val="00F9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chartTrackingRefBased/>
  <w15:docId w15:val="{751864F3-7C7E-44AB-9294-BF74632C9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7FF"/>
    <w:pPr>
      <w:widowControl w:val="0"/>
      <w:overflowPunct w:val="0"/>
      <w:autoSpaceDE w:val="0"/>
      <w:autoSpaceDN w:val="0"/>
      <w:adjustRightInd w:val="0"/>
      <w:spacing w:after="180" w:line="273" w:lineRule="auto"/>
    </w:pPr>
    <w:rPr>
      <w:rFonts w:ascii="Arial" w:eastAsiaTheme="minorEastAsia" w:hAnsi="Arial" w:cs="Arial"/>
      <w:color w:val="000000"/>
      <w:kern w:val="28"/>
      <w:sz w:val="17"/>
      <w:szCs w:val="1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137FF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9137FF"/>
    <w:pPr>
      <w:widowControl/>
      <w:overflowPunct/>
      <w:autoSpaceDE/>
      <w:autoSpaceDN/>
      <w:adjustRightInd/>
      <w:spacing w:after="0" w:line="240" w:lineRule="auto"/>
      <w:ind w:left="720"/>
    </w:pPr>
    <w:rPr>
      <w:rFonts w:ascii="Calibri" w:hAnsi="Calibri" w:cs="Times New Roman"/>
      <w:color w:val="auto"/>
      <w:kern w:val="0"/>
      <w:sz w:val="22"/>
      <w:szCs w:val="22"/>
      <w:lang w:eastAsia="zh-CN"/>
    </w:rPr>
  </w:style>
  <w:style w:type="character" w:styleId="Hyperlink">
    <w:name w:val="Hyperlink"/>
    <w:basedOn w:val="DefaultParagraphFont"/>
    <w:uiPriority w:val="99"/>
    <w:unhideWhenUsed/>
    <w:rsid w:val="00ED5D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9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9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9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76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82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24712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41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951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675962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3878793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436224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6144771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3904722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7688293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5183172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3658021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06961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59443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78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16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69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845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447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455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025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824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700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1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aining.cochrane.org/interactivelearning/module-9-introduction-health-economic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cholar.google.co.uk/scholar?oi=bibs&amp;cluster=2862617267071703926&amp;btnI=1&amp;nossl=1&amp;hl=en" TargetMode="External"/><Relationship Id="rId12" Type="http://schemas.openxmlformats.org/officeDocument/2006/relationships/package" Target="embeddings/Microsoft_Word_Document3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1.docx"/><Relationship Id="rId11" Type="http://schemas.openxmlformats.org/officeDocument/2006/relationships/image" Target="media/image3.emf"/><Relationship Id="rId5" Type="http://schemas.openxmlformats.org/officeDocument/2006/relationships/image" Target="media/image1.emf"/><Relationship Id="rId10" Type="http://schemas.openxmlformats.org/officeDocument/2006/relationships/package" Target="embeddings/Microsoft_Word_Document2.doc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2708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Vale</dc:creator>
  <cp:keywords/>
  <dc:description/>
  <cp:lastModifiedBy>Eugenie Johnson</cp:lastModifiedBy>
  <cp:revision>2</cp:revision>
  <dcterms:created xsi:type="dcterms:W3CDTF">2018-07-09T11:49:00Z</dcterms:created>
  <dcterms:modified xsi:type="dcterms:W3CDTF">2018-07-09T11:49:00Z</dcterms:modified>
</cp:coreProperties>
</file>