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0B446" w14:textId="77777777" w:rsidR="00C74BE0" w:rsidRPr="00C74BE0" w:rsidRDefault="00C74BE0" w:rsidP="00871B87">
      <w:pPr>
        <w:spacing w:after="2880"/>
        <w:rPr>
          <w:color w:val="FFFFFF" w:themeColor="background1"/>
        </w:rPr>
      </w:pPr>
      <w:bookmarkStart w:id="0" w:name="_GoBack"/>
      <w:bookmarkEnd w:id="0"/>
    </w:p>
    <w:p w14:paraId="0150C2D8" w14:textId="77777777" w:rsidR="003C0907" w:rsidRPr="00871B87" w:rsidRDefault="00A426CB" w:rsidP="00871B87">
      <w:pPr>
        <w:pStyle w:val="Title"/>
      </w:pPr>
      <w:r>
        <w:t xml:space="preserve">Cochrane Scientific Committee </w:t>
      </w:r>
    </w:p>
    <w:p w14:paraId="628F1B8D" w14:textId="22E5CEC8" w:rsidR="00262640" w:rsidRPr="00262640" w:rsidRDefault="002C136B" w:rsidP="00871B87">
      <w:pPr>
        <w:spacing w:line="420" w:lineRule="exact"/>
        <w:ind w:right="5160"/>
        <w:rPr>
          <w:rFonts w:asciiTheme="majorHAnsi" w:hAnsiTheme="majorHAnsi"/>
          <w:color w:val="FF0000"/>
          <w:sz w:val="36"/>
          <w:szCs w:val="36"/>
        </w:rPr>
      </w:pPr>
      <w:r>
        <w:rPr>
          <w:rFonts w:asciiTheme="majorHAnsi" w:hAnsiTheme="majorHAnsi"/>
          <w:color w:val="007CB7" w:themeColor="background2"/>
          <w:sz w:val="36"/>
          <w:szCs w:val="36"/>
        </w:rPr>
        <w:t>AGENDA</w:t>
      </w:r>
    </w:p>
    <w:p w14:paraId="0F2EC64F" w14:textId="77777777" w:rsidR="00A6738A" w:rsidRDefault="00A6738A" w:rsidP="00871B87">
      <w:pPr>
        <w:spacing w:line="420" w:lineRule="exact"/>
        <w:ind w:right="5160"/>
        <w:rPr>
          <w:rFonts w:asciiTheme="majorHAnsi" w:hAnsiTheme="majorHAnsi"/>
          <w:color w:val="007CB7" w:themeColor="background2"/>
          <w:sz w:val="36"/>
          <w:szCs w:val="36"/>
        </w:rPr>
      </w:pPr>
    </w:p>
    <w:p w14:paraId="107A785E" w14:textId="77777777" w:rsidR="00A6738A" w:rsidRDefault="00A6738A" w:rsidP="00871B87">
      <w:pPr>
        <w:spacing w:line="420" w:lineRule="exact"/>
        <w:ind w:right="5160"/>
        <w:rPr>
          <w:rFonts w:asciiTheme="majorHAnsi" w:hAnsiTheme="majorHAnsi"/>
          <w:color w:val="007CB7" w:themeColor="background2"/>
          <w:sz w:val="36"/>
          <w:szCs w:val="36"/>
        </w:rPr>
      </w:pPr>
    </w:p>
    <w:p w14:paraId="456857B2" w14:textId="5CDC1AA5" w:rsidR="00CC6EA5" w:rsidRDefault="002C136B" w:rsidP="00871B87">
      <w:pPr>
        <w:spacing w:line="420" w:lineRule="exact"/>
        <w:ind w:right="5160"/>
        <w:rPr>
          <w:rFonts w:asciiTheme="majorHAnsi" w:hAnsiTheme="majorHAnsi"/>
          <w:color w:val="007CB7" w:themeColor="background2"/>
          <w:sz w:val="36"/>
          <w:szCs w:val="36"/>
        </w:rPr>
      </w:pPr>
      <w:r>
        <w:rPr>
          <w:rFonts w:asciiTheme="majorHAnsi" w:hAnsiTheme="majorHAnsi"/>
          <w:color w:val="007CB7" w:themeColor="background2"/>
          <w:sz w:val="36"/>
          <w:szCs w:val="36"/>
        </w:rPr>
        <w:t>21 June 2019</w:t>
      </w:r>
    </w:p>
    <w:p w14:paraId="4EF929EF" w14:textId="49F2B9F7" w:rsidR="00FB65E7" w:rsidRPr="00FB65E7" w:rsidRDefault="002C136B" w:rsidP="00871B87">
      <w:pPr>
        <w:spacing w:line="420" w:lineRule="exact"/>
        <w:ind w:right="5160"/>
        <w:rPr>
          <w:rFonts w:asciiTheme="majorHAnsi" w:hAnsiTheme="majorHAnsi"/>
          <w:i/>
          <w:color w:val="007CB7" w:themeColor="background2"/>
          <w:sz w:val="36"/>
          <w:szCs w:val="36"/>
        </w:rPr>
      </w:pPr>
      <w:r>
        <w:rPr>
          <w:rFonts w:asciiTheme="majorHAnsi" w:hAnsiTheme="majorHAnsi"/>
          <w:i/>
          <w:color w:val="007CB7" w:themeColor="background2"/>
          <w:sz w:val="36"/>
          <w:szCs w:val="36"/>
        </w:rPr>
        <w:t xml:space="preserve">Teleconference </w:t>
      </w:r>
    </w:p>
    <w:p w14:paraId="47CA84F3" w14:textId="77777777" w:rsidR="00A6738A" w:rsidRDefault="00A6738A" w:rsidP="00871B87">
      <w:pPr>
        <w:spacing w:line="420" w:lineRule="exact"/>
        <w:ind w:right="5160"/>
        <w:rPr>
          <w:rFonts w:asciiTheme="majorHAnsi" w:hAnsiTheme="majorHAnsi"/>
          <w:color w:val="007CB7" w:themeColor="background2"/>
          <w:sz w:val="36"/>
          <w:szCs w:val="36"/>
        </w:rPr>
        <w:sectPr w:rsidR="00A6738A" w:rsidSect="00B77171">
          <w:headerReference w:type="default" r:id="rId8"/>
          <w:pgSz w:w="11906" w:h="16838" w:code="9"/>
          <w:pgMar w:top="1701" w:right="680" w:bottom="1134" w:left="680" w:header="680" w:footer="624" w:gutter="0"/>
          <w:cols w:space="708"/>
          <w:docGrid w:linePitch="360"/>
        </w:sectPr>
      </w:pPr>
    </w:p>
    <w:p w14:paraId="3F5B30EC" w14:textId="77777777" w:rsidR="00871B87" w:rsidRPr="00874B2B" w:rsidRDefault="00871B87" w:rsidP="00874B2B">
      <w:pPr>
        <w:rPr>
          <w:color w:val="FFFFFF" w:themeColor="background1"/>
        </w:rPr>
      </w:pPr>
    </w:p>
    <w:p w14:paraId="2870B4FD" w14:textId="30397AFB" w:rsidR="00FB65E7" w:rsidRDefault="004708C7" w:rsidP="00A6738A">
      <w:pPr>
        <w:pStyle w:val="Heading1"/>
      </w:pPr>
      <w:r>
        <w:t>ATTENDESS</w:t>
      </w:r>
    </w:p>
    <w:p w14:paraId="06DC0CEE" w14:textId="176EA84D" w:rsidR="00FB65E7" w:rsidRDefault="002C136B" w:rsidP="00FB65E7">
      <w:pPr>
        <w:pStyle w:val="Heading1"/>
        <w:spacing w:after="0" w:line="276" w:lineRule="auto"/>
        <w:rPr>
          <w:sz w:val="20"/>
          <w:szCs w:val="20"/>
        </w:rPr>
      </w:pPr>
      <w:r>
        <w:rPr>
          <w:sz w:val="20"/>
          <w:szCs w:val="20"/>
        </w:rPr>
        <w:t>Karla Soares-Weiser (KSW)</w:t>
      </w:r>
      <w:r w:rsidR="00BC19C9">
        <w:rPr>
          <w:sz w:val="20"/>
          <w:szCs w:val="20"/>
        </w:rPr>
        <w:t xml:space="preserve"> -</w:t>
      </w:r>
      <w:r w:rsidR="00135793" w:rsidRPr="00BD7457">
        <w:rPr>
          <w:sz w:val="20"/>
          <w:szCs w:val="20"/>
        </w:rPr>
        <w:t xml:space="preserve"> Editor in Chief</w:t>
      </w:r>
      <w:r w:rsidR="00FB65E7">
        <w:rPr>
          <w:sz w:val="20"/>
          <w:szCs w:val="20"/>
        </w:rPr>
        <w:br/>
        <w:t>Ella Flemyng</w:t>
      </w:r>
      <w:r w:rsidR="00BC19C9">
        <w:rPr>
          <w:sz w:val="20"/>
          <w:szCs w:val="20"/>
        </w:rPr>
        <w:t xml:space="preserve"> (EF) -</w:t>
      </w:r>
      <w:r w:rsidR="00135793" w:rsidRPr="00BD7457">
        <w:rPr>
          <w:sz w:val="20"/>
          <w:szCs w:val="20"/>
        </w:rPr>
        <w:t xml:space="preserve"> Methods </w:t>
      </w:r>
      <w:r w:rsidR="00FB65E7">
        <w:rPr>
          <w:sz w:val="20"/>
          <w:szCs w:val="20"/>
        </w:rPr>
        <w:t xml:space="preserve">Implementation </w:t>
      </w:r>
      <w:r w:rsidR="00135793" w:rsidRPr="00BD7457">
        <w:rPr>
          <w:sz w:val="20"/>
          <w:szCs w:val="20"/>
        </w:rPr>
        <w:t>Coordinator</w:t>
      </w:r>
      <w:r w:rsidR="00FB65E7">
        <w:rPr>
          <w:sz w:val="20"/>
          <w:szCs w:val="20"/>
        </w:rPr>
        <w:t xml:space="preserve"> </w:t>
      </w:r>
    </w:p>
    <w:p w14:paraId="42E8B0B8" w14:textId="497A2C8B" w:rsidR="00FB65E7" w:rsidRPr="00FB65E7" w:rsidRDefault="00FB65E7" w:rsidP="00FB65E7">
      <w:pPr>
        <w:pStyle w:val="Heading1"/>
        <w:spacing w:after="0" w:line="276" w:lineRule="auto"/>
        <w:rPr>
          <w:b/>
          <w:sz w:val="20"/>
          <w:szCs w:val="20"/>
        </w:rPr>
      </w:pPr>
      <w:r>
        <w:rPr>
          <w:sz w:val="20"/>
          <w:szCs w:val="20"/>
        </w:rPr>
        <w:t>Toby Lasserson</w:t>
      </w:r>
      <w:r w:rsidR="00BC19C9">
        <w:rPr>
          <w:sz w:val="20"/>
          <w:szCs w:val="20"/>
        </w:rPr>
        <w:t xml:space="preserve"> (TL) -</w:t>
      </w:r>
      <w:r>
        <w:rPr>
          <w:sz w:val="20"/>
          <w:szCs w:val="20"/>
        </w:rPr>
        <w:t xml:space="preserve"> Senior Editor</w:t>
      </w:r>
      <w:r w:rsidR="002C136B">
        <w:rPr>
          <w:sz w:val="20"/>
          <w:szCs w:val="20"/>
        </w:rPr>
        <w:t xml:space="preserve"> (Methods Support and Development)</w:t>
      </w:r>
    </w:p>
    <w:p w14:paraId="73D06DC3" w14:textId="77777777" w:rsidR="00FB65E7" w:rsidRPr="00FB65E7" w:rsidRDefault="00FB65E7" w:rsidP="00FB65E7"/>
    <w:p w14:paraId="1E0FD9C3" w14:textId="2DC3121C" w:rsidR="00135793" w:rsidRPr="00BD7457" w:rsidRDefault="002C136B" w:rsidP="00135793">
      <w:pPr>
        <w:rPr>
          <w:sz w:val="20"/>
          <w:szCs w:val="20"/>
        </w:rPr>
      </w:pPr>
      <w:r>
        <w:rPr>
          <w:sz w:val="28"/>
          <w:szCs w:val="28"/>
        </w:rPr>
        <w:t xml:space="preserve">Scientific </w:t>
      </w:r>
      <w:r w:rsidR="00135793" w:rsidRPr="00BD7457">
        <w:rPr>
          <w:sz w:val="28"/>
          <w:szCs w:val="28"/>
        </w:rPr>
        <w:t>Committee members</w:t>
      </w:r>
      <w:r w:rsidR="004A51CE">
        <w:rPr>
          <w:sz w:val="28"/>
          <w:szCs w:val="28"/>
        </w:rPr>
        <w:t xml:space="preserve"> attending</w:t>
      </w:r>
      <w:r w:rsidR="00135793" w:rsidRPr="00BD7457">
        <w:rPr>
          <w:sz w:val="20"/>
          <w:szCs w:val="20"/>
        </w:rPr>
        <w:t>:</w:t>
      </w:r>
    </w:p>
    <w:p w14:paraId="1BE7067C" w14:textId="77777777" w:rsidR="00135793" w:rsidRPr="00BD7457" w:rsidRDefault="00135793" w:rsidP="00135793">
      <w:pPr>
        <w:rPr>
          <w:sz w:val="20"/>
          <w:szCs w:val="20"/>
        </w:rPr>
      </w:pPr>
      <w:r w:rsidRPr="00BD7457">
        <w:rPr>
          <w:b/>
          <w:bCs/>
          <w:sz w:val="20"/>
          <w:szCs w:val="20"/>
        </w:rPr>
        <w:t>Donna Gilles</w:t>
      </w:r>
      <w:r w:rsidRPr="00BD7457">
        <w:rPr>
          <w:sz w:val="20"/>
          <w:szCs w:val="20"/>
        </w:rPr>
        <w:t xml:space="preserve"> (DG)</w:t>
      </w:r>
    </w:p>
    <w:p w14:paraId="08F07E18" w14:textId="6A9AC8CD" w:rsidR="00135793" w:rsidRPr="00BD7457" w:rsidRDefault="00BD1C4C" w:rsidP="00135793">
      <w:pPr>
        <w:rPr>
          <w:sz w:val="20"/>
          <w:szCs w:val="20"/>
        </w:rPr>
      </w:pPr>
      <w:r>
        <w:rPr>
          <w:sz w:val="20"/>
          <w:szCs w:val="20"/>
        </w:rPr>
        <w:t>E</w:t>
      </w:r>
      <w:r w:rsidR="00135793" w:rsidRPr="00BD7457">
        <w:rPr>
          <w:sz w:val="20"/>
          <w:szCs w:val="20"/>
        </w:rPr>
        <w:t>ditor for both the Cochrane Developmental, Psychosocial and Learning Problems Group and Diagnostic Test Accuracy Review Group.</w:t>
      </w:r>
    </w:p>
    <w:p w14:paraId="0D22174B" w14:textId="77777777" w:rsidR="00135793" w:rsidRPr="00BD7457" w:rsidRDefault="00135793" w:rsidP="00135793">
      <w:pPr>
        <w:rPr>
          <w:b/>
          <w:bCs/>
          <w:sz w:val="20"/>
          <w:szCs w:val="20"/>
        </w:rPr>
      </w:pPr>
      <w:r w:rsidRPr="00BD7457">
        <w:rPr>
          <w:b/>
          <w:bCs/>
          <w:sz w:val="20"/>
          <w:szCs w:val="20"/>
        </w:rPr>
        <w:t>Julian Higgins (JH)</w:t>
      </w:r>
    </w:p>
    <w:p w14:paraId="6FE4510A" w14:textId="77777777" w:rsidR="00135793" w:rsidRPr="00BD7457" w:rsidRDefault="00135793" w:rsidP="00135793">
      <w:pPr>
        <w:rPr>
          <w:sz w:val="20"/>
          <w:szCs w:val="20"/>
        </w:rPr>
      </w:pPr>
      <w:r w:rsidRPr="00BD7457">
        <w:rPr>
          <w:sz w:val="20"/>
          <w:szCs w:val="20"/>
        </w:rPr>
        <w:t xml:space="preserve">Professor of Evidence Synthesis at the School of Social and Community Medicine, at the University of Bristol, Bristol, UK, and current Senior Scientific Editor of the </w:t>
      </w:r>
      <w:r w:rsidRPr="00BD7457">
        <w:rPr>
          <w:i/>
          <w:iCs/>
          <w:sz w:val="20"/>
          <w:szCs w:val="20"/>
        </w:rPr>
        <w:t>Cochrane Handbook of Systematic Reviews for Interventions.</w:t>
      </w:r>
    </w:p>
    <w:p w14:paraId="54E6A873" w14:textId="77777777" w:rsidR="00D25552" w:rsidRPr="00BD7457" w:rsidRDefault="00D25552" w:rsidP="00D25552">
      <w:pPr>
        <w:rPr>
          <w:b/>
          <w:bCs/>
          <w:sz w:val="20"/>
          <w:szCs w:val="20"/>
        </w:rPr>
      </w:pPr>
      <w:proofErr w:type="spellStart"/>
      <w:r w:rsidRPr="00BD7457">
        <w:rPr>
          <w:b/>
          <w:bCs/>
          <w:sz w:val="20"/>
          <w:szCs w:val="20"/>
        </w:rPr>
        <w:t>As</w:t>
      </w:r>
      <w:r w:rsidRPr="00CC6EA5">
        <w:rPr>
          <w:b/>
          <w:bCs/>
          <w:sz w:val="20"/>
          <w:szCs w:val="20"/>
        </w:rPr>
        <w:t>bjØ</w:t>
      </w:r>
      <w:r w:rsidRPr="00BD7457">
        <w:rPr>
          <w:b/>
          <w:bCs/>
          <w:sz w:val="20"/>
          <w:szCs w:val="20"/>
        </w:rPr>
        <w:t>rn</w:t>
      </w:r>
      <w:proofErr w:type="spellEnd"/>
      <w:r w:rsidRPr="00BD7457">
        <w:rPr>
          <w:b/>
          <w:bCs/>
          <w:sz w:val="20"/>
          <w:szCs w:val="20"/>
        </w:rPr>
        <w:t xml:space="preserve"> </w:t>
      </w:r>
      <w:proofErr w:type="spellStart"/>
      <w:r w:rsidRPr="00BD7457">
        <w:rPr>
          <w:b/>
          <w:bCs/>
          <w:sz w:val="20"/>
          <w:szCs w:val="20"/>
        </w:rPr>
        <w:t>Hróbjartsson</w:t>
      </w:r>
      <w:proofErr w:type="spellEnd"/>
      <w:r w:rsidRPr="00BD7457">
        <w:rPr>
          <w:b/>
          <w:bCs/>
          <w:sz w:val="20"/>
          <w:szCs w:val="20"/>
        </w:rPr>
        <w:t xml:space="preserve"> (AH)</w:t>
      </w:r>
    </w:p>
    <w:p w14:paraId="2FD928DB" w14:textId="77777777" w:rsidR="00D25552" w:rsidRDefault="00D25552" w:rsidP="00D25552">
      <w:pPr>
        <w:rPr>
          <w:sz w:val="20"/>
          <w:szCs w:val="20"/>
        </w:rPr>
      </w:pPr>
      <w:r w:rsidRPr="00BD7457">
        <w:rPr>
          <w:sz w:val="20"/>
          <w:szCs w:val="20"/>
        </w:rPr>
        <w:t xml:space="preserve">Professor of Evidence-Based Medicine and Clinical Research Methodology at the University of Southern Denmark, and Head of Research for the </w:t>
      </w:r>
      <w:proofErr w:type="spellStart"/>
      <w:r w:rsidRPr="00BD7457">
        <w:rPr>
          <w:sz w:val="20"/>
          <w:szCs w:val="20"/>
        </w:rPr>
        <w:t>Center</w:t>
      </w:r>
      <w:proofErr w:type="spellEnd"/>
      <w:r w:rsidRPr="00BD7457">
        <w:rPr>
          <w:sz w:val="20"/>
          <w:szCs w:val="20"/>
        </w:rPr>
        <w:t xml:space="preserve"> for Evidence-Based Medicine at Odense University Hospital, which hosts the secretariat of the Cochrane Bias Methods Group.</w:t>
      </w:r>
    </w:p>
    <w:p w14:paraId="60735C7B" w14:textId="77777777" w:rsidR="00135793" w:rsidRPr="00BD7457" w:rsidRDefault="00135793" w:rsidP="00135793">
      <w:pPr>
        <w:rPr>
          <w:b/>
          <w:bCs/>
          <w:sz w:val="20"/>
          <w:szCs w:val="20"/>
        </w:rPr>
      </w:pPr>
      <w:r w:rsidRPr="00BD7457">
        <w:rPr>
          <w:b/>
          <w:bCs/>
          <w:sz w:val="20"/>
          <w:szCs w:val="20"/>
        </w:rPr>
        <w:t>Ana</w:t>
      </w:r>
      <w:r w:rsidR="00CC6EA5" w:rsidRPr="00CC6EA5">
        <w:t xml:space="preserve"> </w:t>
      </w:r>
      <w:r w:rsidR="00CC6EA5" w:rsidRPr="00CC6EA5">
        <w:rPr>
          <w:sz w:val="20"/>
          <w:szCs w:val="20"/>
        </w:rPr>
        <w:t>Marušić</w:t>
      </w:r>
      <w:r w:rsidRPr="00CC6EA5">
        <w:rPr>
          <w:b/>
          <w:bCs/>
          <w:sz w:val="20"/>
          <w:szCs w:val="20"/>
        </w:rPr>
        <w:t> (</w:t>
      </w:r>
      <w:r w:rsidRPr="00BD7457">
        <w:rPr>
          <w:b/>
          <w:bCs/>
          <w:sz w:val="20"/>
          <w:szCs w:val="20"/>
        </w:rPr>
        <w:t xml:space="preserve">AM)                     </w:t>
      </w:r>
    </w:p>
    <w:p w14:paraId="44AFB4D3" w14:textId="77777777" w:rsidR="00135793" w:rsidRPr="00BD7457" w:rsidRDefault="00135793" w:rsidP="00135793">
      <w:pPr>
        <w:rPr>
          <w:b/>
          <w:bCs/>
          <w:sz w:val="20"/>
          <w:szCs w:val="20"/>
        </w:rPr>
      </w:pPr>
      <w:r w:rsidRPr="00BD7457">
        <w:rPr>
          <w:sz w:val="20"/>
          <w:szCs w:val="20"/>
        </w:rPr>
        <w:t>Professor of Anatomy and Chair of the Department of Research in Biomedicine and Health at the University of Split School of Medicine, Split, Croatia and founder of Cochrane Croatia.</w:t>
      </w:r>
    </w:p>
    <w:p w14:paraId="23B8C9D6" w14:textId="77777777" w:rsidR="00135793" w:rsidRPr="00BD7457" w:rsidRDefault="00135793" w:rsidP="00135793">
      <w:pPr>
        <w:rPr>
          <w:b/>
          <w:bCs/>
          <w:sz w:val="20"/>
          <w:szCs w:val="20"/>
        </w:rPr>
      </w:pPr>
      <w:r w:rsidRPr="00BD7457">
        <w:rPr>
          <w:b/>
          <w:bCs/>
          <w:sz w:val="20"/>
          <w:szCs w:val="20"/>
        </w:rPr>
        <w:t>Jane Noyes (JN)</w:t>
      </w:r>
    </w:p>
    <w:p w14:paraId="5EC3CAE4" w14:textId="344B8FBE" w:rsidR="00C334A0" w:rsidRDefault="00135793" w:rsidP="00135793">
      <w:pPr>
        <w:rPr>
          <w:b/>
          <w:bCs/>
          <w:sz w:val="20"/>
          <w:szCs w:val="20"/>
        </w:rPr>
      </w:pPr>
      <w:r w:rsidRPr="00BD7457">
        <w:rPr>
          <w:sz w:val="20"/>
          <w:szCs w:val="20"/>
        </w:rPr>
        <w:t xml:space="preserve">Professor of Health and Social Services Research and Child Health, Bangor University, Wales, UK, lead Convenor of the Cochrane Qualitative and Implementation Methods Group, and a UK Cochrane Fellow.  </w:t>
      </w:r>
    </w:p>
    <w:p w14:paraId="1247B308" w14:textId="0E6BF5DD" w:rsidR="00135793" w:rsidRPr="00BD7457" w:rsidRDefault="00135793" w:rsidP="00135793">
      <w:pPr>
        <w:rPr>
          <w:b/>
          <w:bCs/>
          <w:sz w:val="20"/>
          <w:szCs w:val="20"/>
        </w:rPr>
      </w:pPr>
      <w:r w:rsidRPr="00BD7457">
        <w:rPr>
          <w:b/>
          <w:bCs/>
          <w:sz w:val="20"/>
          <w:szCs w:val="20"/>
        </w:rPr>
        <w:t>Tomas Pantoja (TP)</w:t>
      </w:r>
    </w:p>
    <w:p w14:paraId="63ABF793" w14:textId="77777777" w:rsidR="00135793" w:rsidRPr="00BD7457" w:rsidRDefault="00135793" w:rsidP="00135793">
      <w:pPr>
        <w:rPr>
          <w:sz w:val="20"/>
          <w:szCs w:val="20"/>
        </w:rPr>
      </w:pPr>
      <w:r w:rsidRPr="00BD7457">
        <w:rPr>
          <w:sz w:val="20"/>
          <w:szCs w:val="20"/>
        </w:rPr>
        <w:t xml:space="preserve">Associate Professor, Family Medicine Department, School of Medicine, Pontificia Universidad </w:t>
      </w:r>
      <w:proofErr w:type="spellStart"/>
      <w:r w:rsidRPr="00BD7457">
        <w:rPr>
          <w:sz w:val="20"/>
          <w:szCs w:val="20"/>
        </w:rPr>
        <w:t>Católica</w:t>
      </w:r>
      <w:proofErr w:type="spellEnd"/>
      <w:r w:rsidRPr="00BD7457">
        <w:rPr>
          <w:sz w:val="20"/>
          <w:szCs w:val="20"/>
        </w:rPr>
        <w:t xml:space="preserve"> de Chile and Editor of the Cochrane Effective Practice and Organisation of Care (EPOC) Group.</w:t>
      </w:r>
    </w:p>
    <w:p w14:paraId="57459FB0" w14:textId="77777777" w:rsidR="00135793" w:rsidRPr="00BD7457" w:rsidRDefault="00135793" w:rsidP="00135793">
      <w:pPr>
        <w:rPr>
          <w:b/>
          <w:bCs/>
          <w:sz w:val="20"/>
          <w:szCs w:val="20"/>
        </w:rPr>
      </w:pPr>
      <w:r w:rsidRPr="00BD7457">
        <w:rPr>
          <w:b/>
          <w:bCs/>
          <w:sz w:val="20"/>
          <w:szCs w:val="20"/>
        </w:rPr>
        <w:t>Philippe Ravaud (PR)</w:t>
      </w:r>
    </w:p>
    <w:p w14:paraId="250C0240" w14:textId="3A3684D3" w:rsidR="00135793" w:rsidRPr="00BD7457" w:rsidRDefault="00135793" w:rsidP="00135793">
      <w:pPr>
        <w:rPr>
          <w:sz w:val="20"/>
          <w:szCs w:val="20"/>
        </w:rPr>
      </w:pPr>
      <w:r w:rsidRPr="00BD7457">
        <w:rPr>
          <w:sz w:val="20"/>
          <w:szCs w:val="20"/>
        </w:rPr>
        <w:t xml:space="preserve">Professor of Epidemiology, Faculty of Medicine, Head of the Clinical Epidemiology Centre, Hôtel-Dieu Hospital, Paris Descartes University, France and Director of Cochrane France. </w:t>
      </w:r>
    </w:p>
    <w:p w14:paraId="09AC824B" w14:textId="77777777" w:rsidR="00135793" w:rsidRPr="00BD7457" w:rsidRDefault="00135793" w:rsidP="00135793">
      <w:pPr>
        <w:rPr>
          <w:b/>
          <w:bCs/>
          <w:sz w:val="20"/>
          <w:szCs w:val="20"/>
        </w:rPr>
      </w:pPr>
      <w:r w:rsidRPr="00BD7457">
        <w:rPr>
          <w:b/>
          <w:bCs/>
          <w:sz w:val="20"/>
          <w:szCs w:val="20"/>
        </w:rPr>
        <w:t>Rebecca Ryan (RR)</w:t>
      </w:r>
    </w:p>
    <w:p w14:paraId="3A0F281A" w14:textId="4F1663AC" w:rsidR="00135793" w:rsidRPr="00BD7457" w:rsidRDefault="00135793" w:rsidP="00135793">
      <w:pPr>
        <w:rPr>
          <w:b/>
          <w:bCs/>
          <w:sz w:val="20"/>
          <w:szCs w:val="20"/>
        </w:rPr>
      </w:pPr>
      <w:r w:rsidRPr="00BD7457">
        <w:rPr>
          <w:sz w:val="20"/>
          <w:szCs w:val="20"/>
        </w:rPr>
        <w:t xml:space="preserve">Research Fellow at the School of Psychology and Public Health, La Trobe University, Australia and </w:t>
      </w:r>
      <w:r w:rsidR="0011685D">
        <w:rPr>
          <w:sz w:val="20"/>
          <w:szCs w:val="20"/>
        </w:rPr>
        <w:t>Joint</w:t>
      </w:r>
      <w:r w:rsidR="0011685D" w:rsidRPr="00BD7457">
        <w:rPr>
          <w:sz w:val="20"/>
          <w:szCs w:val="20"/>
        </w:rPr>
        <w:t xml:space="preserve"> </w:t>
      </w:r>
      <w:r w:rsidRPr="00BD7457">
        <w:rPr>
          <w:sz w:val="20"/>
          <w:szCs w:val="20"/>
        </w:rPr>
        <w:t xml:space="preserve">Co-ordinating Editor of the Cochrane Consumers and Communication Group.  </w:t>
      </w:r>
    </w:p>
    <w:p w14:paraId="247F3E1A" w14:textId="77777777" w:rsidR="00D25552" w:rsidRPr="00BD7457" w:rsidRDefault="00D25552" w:rsidP="00D25552">
      <w:pPr>
        <w:rPr>
          <w:b/>
          <w:bCs/>
          <w:sz w:val="20"/>
          <w:szCs w:val="20"/>
        </w:rPr>
      </w:pPr>
      <w:r w:rsidRPr="00BD7457">
        <w:rPr>
          <w:b/>
          <w:bCs/>
          <w:sz w:val="20"/>
          <w:szCs w:val="20"/>
        </w:rPr>
        <w:t>Christopher Schmid (CS)</w:t>
      </w:r>
    </w:p>
    <w:p w14:paraId="407E4031" w14:textId="77777777" w:rsidR="00D25552" w:rsidRPr="00BD7457" w:rsidRDefault="00D25552" w:rsidP="00D25552">
      <w:pPr>
        <w:rPr>
          <w:b/>
          <w:bCs/>
          <w:sz w:val="20"/>
          <w:szCs w:val="20"/>
        </w:rPr>
      </w:pPr>
      <w:r w:rsidRPr="00BD7457">
        <w:rPr>
          <w:sz w:val="20"/>
          <w:szCs w:val="20"/>
        </w:rPr>
        <w:t xml:space="preserve">Professor of Biostatistics, founding member and Co-Director of the </w:t>
      </w:r>
      <w:proofErr w:type="spellStart"/>
      <w:r w:rsidRPr="00BD7457">
        <w:rPr>
          <w:sz w:val="20"/>
          <w:szCs w:val="20"/>
        </w:rPr>
        <w:t>Center</w:t>
      </w:r>
      <w:proofErr w:type="spellEnd"/>
      <w:r w:rsidRPr="00BD7457">
        <w:rPr>
          <w:sz w:val="20"/>
          <w:szCs w:val="20"/>
        </w:rPr>
        <w:t xml:space="preserve"> for Evidence Synthesis in Health, Brown School of Public Health, US, Fellow of the American Statistical Association (ASA) and Founding Co-Editor of </w:t>
      </w:r>
      <w:r w:rsidRPr="00BD7457">
        <w:rPr>
          <w:i/>
          <w:iCs/>
          <w:sz w:val="20"/>
          <w:szCs w:val="20"/>
        </w:rPr>
        <w:t>Research Synthesis Methods</w:t>
      </w:r>
      <w:r w:rsidRPr="00BD7457">
        <w:rPr>
          <w:sz w:val="20"/>
          <w:szCs w:val="20"/>
        </w:rPr>
        <w:t xml:space="preserve">.  </w:t>
      </w:r>
    </w:p>
    <w:p w14:paraId="3A160C55" w14:textId="77777777" w:rsidR="00135793" w:rsidRPr="00BD7457" w:rsidRDefault="00135793" w:rsidP="00135793">
      <w:pPr>
        <w:rPr>
          <w:b/>
          <w:bCs/>
          <w:sz w:val="20"/>
          <w:szCs w:val="20"/>
        </w:rPr>
      </w:pPr>
      <w:r w:rsidRPr="00BD7457">
        <w:rPr>
          <w:b/>
          <w:bCs/>
          <w:sz w:val="20"/>
          <w:szCs w:val="20"/>
        </w:rPr>
        <w:t>Nichole Taske (NT)</w:t>
      </w:r>
    </w:p>
    <w:p w14:paraId="21A55D50" w14:textId="77777777" w:rsidR="00135793" w:rsidRDefault="00135793" w:rsidP="00135793">
      <w:pPr>
        <w:rPr>
          <w:sz w:val="20"/>
          <w:szCs w:val="20"/>
        </w:rPr>
      </w:pPr>
      <w:r w:rsidRPr="00BD7457">
        <w:rPr>
          <w:sz w:val="20"/>
          <w:szCs w:val="20"/>
        </w:rPr>
        <w:t xml:space="preserve">Associate Director (Methodology), </w:t>
      </w:r>
      <w:r>
        <w:rPr>
          <w:sz w:val="20"/>
          <w:szCs w:val="20"/>
        </w:rPr>
        <w:t>Centre for Guidelines, NICE, U</w:t>
      </w:r>
      <w:r w:rsidR="004A51CE">
        <w:rPr>
          <w:sz w:val="20"/>
          <w:szCs w:val="20"/>
        </w:rPr>
        <w:t>K</w:t>
      </w:r>
    </w:p>
    <w:p w14:paraId="73D7EFE9" w14:textId="77777777" w:rsidR="004A51CE" w:rsidRDefault="004A51CE" w:rsidP="00135793">
      <w:pPr>
        <w:rPr>
          <w:sz w:val="20"/>
          <w:szCs w:val="20"/>
        </w:rPr>
      </w:pPr>
    </w:p>
    <w:p w14:paraId="464CA23D" w14:textId="77777777" w:rsidR="004A51CE" w:rsidRDefault="004A51CE" w:rsidP="00135793">
      <w:pPr>
        <w:rPr>
          <w:sz w:val="20"/>
          <w:szCs w:val="20"/>
        </w:rPr>
      </w:pPr>
    </w:p>
    <w:p w14:paraId="51EE97DC" w14:textId="2538DFA8" w:rsidR="004A51CE" w:rsidRDefault="002C136B" w:rsidP="00135793">
      <w:pPr>
        <w:rPr>
          <w:sz w:val="20"/>
          <w:szCs w:val="20"/>
        </w:rPr>
      </w:pPr>
      <w:r>
        <w:rPr>
          <w:sz w:val="28"/>
          <w:szCs w:val="28"/>
        </w:rPr>
        <w:t xml:space="preserve">Scientific </w:t>
      </w:r>
      <w:r w:rsidR="004A51CE" w:rsidRPr="00BD7457">
        <w:rPr>
          <w:sz w:val="28"/>
          <w:szCs w:val="28"/>
        </w:rPr>
        <w:t>Committee member</w:t>
      </w:r>
      <w:r w:rsidR="00103AD6">
        <w:rPr>
          <w:sz w:val="28"/>
          <w:szCs w:val="28"/>
        </w:rPr>
        <w:t>s</w:t>
      </w:r>
      <w:r>
        <w:rPr>
          <w:sz w:val="28"/>
          <w:szCs w:val="28"/>
        </w:rPr>
        <w:t>’</w:t>
      </w:r>
      <w:r w:rsidR="004A51CE">
        <w:rPr>
          <w:sz w:val="28"/>
          <w:szCs w:val="28"/>
        </w:rPr>
        <w:t xml:space="preserve"> apologies</w:t>
      </w:r>
      <w:r w:rsidR="004A51CE" w:rsidRPr="00BD7457">
        <w:rPr>
          <w:sz w:val="20"/>
          <w:szCs w:val="20"/>
        </w:rPr>
        <w:t>:</w:t>
      </w:r>
    </w:p>
    <w:p w14:paraId="48A75545" w14:textId="77777777" w:rsidR="00D25552" w:rsidRPr="00BD7457" w:rsidRDefault="00D25552" w:rsidP="00D25552">
      <w:pPr>
        <w:rPr>
          <w:b/>
          <w:bCs/>
          <w:sz w:val="20"/>
          <w:szCs w:val="20"/>
        </w:rPr>
      </w:pPr>
      <w:r w:rsidRPr="00BD7457">
        <w:rPr>
          <w:b/>
          <w:bCs/>
          <w:sz w:val="20"/>
          <w:szCs w:val="20"/>
        </w:rPr>
        <w:t>Corinna Dressler (CD)</w:t>
      </w:r>
    </w:p>
    <w:p w14:paraId="567F0B3C" w14:textId="77777777" w:rsidR="00D25552" w:rsidRPr="00BD7457" w:rsidRDefault="00D25552" w:rsidP="00D25552">
      <w:pPr>
        <w:rPr>
          <w:sz w:val="20"/>
          <w:szCs w:val="20"/>
        </w:rPr>
      </w:pPr>
      <w:r w:rsidRPr="00BD7457">
        <w:rPr>
          <w:sz w:val="20"/>
          <w:szCs w:val="20"/>
        </w:rPr>
        <w:t>Research Associate at the Division of Evidence-Based Medicine (</w:t>
      </w:r>
      <w:proofErr w:type="spellStart"/>
      <w:r w:rsidRPr="00BD7457">
        <w:rPr>
          <w:sz w:val="20"/>
          <w:szCs w:val="20"/>
        </w:rPr>
        <w:t>dEBM</w:t>
      </w:r>
      <w:proofErr w:type="spellEnd"/>
      <w:r w:rsidRPr="00BD7457">
        <w:rPr>
          <w:sz w:val="20"/>
          <w:szCs w:val="20"/>
        </w:rPr>
        <w:t xml:space="preserve">) at the </w:t>
      </w:r>
      <w:proofErr w:type="spellStart"/>
      <w:r w:rsidRPr="00BD7457">
        <w:rPr>
          <w:sz w:val="20"/>
          <w:szCs w:val="20"/>
        </w:rPr>
        <w:t>Charité</w:t>
      </w:r>
      <w:proofErr w:type="spellEnd"/>
      <w:r w:rsidRPr="00BD7457">
        <w:rPr>
          <w:sz w:val="20"/>
          <w:szCs w:val="20"/>
        </w:rPr>
        <w:t xml:space="preserve"> – </w:t>
      </w:r>
      <w:proofErr w:type="spellStart"/>
      <w:r w:rsidRPr="00BD7457">
        <w:rPr>
          <w:sz w:val="20"/>
          <w:szCs w:val="20"/>
        </w:rPr>
        <w:t>Universitätsmedizin</w:t>
      </w:r>
      <w:proofErr w:type="spellEnd"/>
      <w:r w:rsidRPr="00BD7457">
        <w:rPr>
          <w:sz w:val="20"/>
          <w:szCs w:val="20"/>
        </w:rPr>
        <w:t xml:space="preserve"> Berlin, Germany</w:t>
      </w:r>
    </w:p>
    <w:p w14:paraId="6C38B80A" w14:textId="77777777" w:rsidR="004A51CE" w:rsidRPr="00BD7457" w:rsidRDefault="004A51CE" w:rsidP="004A51CE">
      <w:pPr>
        <w:rPr>
          <w:b/>
          <w:bCs/>
          <w:sz w:val="20"/>
          <w:szCs w:val="20"/>
        </w:rPr>
      </w:pPr>
      <w:r w:rsidRPr="00BD7457">
        <w:rPr>
          <w:b/>
          <w:bCs/>
          <w:sz w:val="20"/>
          <w:szCs w:val="20"/>
        </w:rPr>
        <w:t xml:space="preserve">Johannes </w:t>
      </w:r>
      <w:proofErr w:type="spellStart"/>
      <w:r w:rsidRPr="00BD7457">
        <w:rPr>
          <w:b/>
          <w:bCs/>
          <w:sz w:val="20"/>
          <w:szCs w:val="20"/>
        </w:rPr>
        <w:t>Reistma</w:t>
      </w:r>
      <w:proofErr w:type="spellEnd"/>
      <w:r w:rsidRPr="00BD7457">
        <w:rPr>
          <w:b/>
          <w:bCs/>
          <w:sz w:val="20"/>
          <w:szCs w:val="20"/>
        </w:rPr>
        <w:t xml:space="preserve"> (JR)</w:t>
      </w:r>
    </w:p>
    <w:p w14:paraId="78320933" w14:textId="22281691" w:rsidR="004A51CE" w:rsidRPr="00D25552" w:rsidRDefault="004A51CE" w:rsidP="00135793">
      <w:pPr>
        <w:rPr>
          <w:color w:val="000000"/>
          <w:sz w:val="20"/>
          <w:szCs w:val="20"/>
          <w:shd w:val="clear" w:color="auto" w:fill="FFFFFF"/>
          <w:lang w:eastAsia="en-GB"/>
        </w:rPr>
      </w:pPr>
      <w:r w:rsidRPr="00BD7457">
        <w:rPr>
          <w:sz w:val="20"/>
          <w:szCs w:val="20"/>
        </w:rPr>
        <w:t xml:space="preserve">Associate Professor at the Julius </w:t>
      </w:r>
      <w:proofErr w:type="spellStart"/>
      <w:r w:rsidRPr="00BD7457">
        <w:rPr>
          <w:sz w:val="20"/>
          <w:szCs w:val="20"/>
        </w:rPr>
        <w:t>Center</w:t>
      </w:r>
      <w:proofErr w:type="spellEnd"/>
      <w:r w:rsidRPr="00BD7457">
        <w:rPr>
          <w:sz w:val="20"/>
          <w:szCs w:val="20"/>
        </w:rPr>
        <w:t xml:space="preserve"> for Health Sciences and Primary Care, University Medical </w:t>
      </w:r>
      <w:proofErr w:type="spellStart"/>
      <w:r w:rsidRPr="00BD7457">
        <w:rPr>
          <w:sz w:val="20"/>
          <w:szCs w:val="20"/>
        </w:rPr>
        <w:t>Center</w:t>
      </w:r>
      <w:proofErr w:type="spellEnd"/>
      <w:r w:rsidRPr="00BD7457">
        <w:rPr>
          <w:sz w:val="20"/>
          <w:szCs w:val="20"/>
        </w:rPr>
        <w:t xml:space="preserve"> Utrecht, The Netherlands</w:t>
      </w:r>
      <w:r w:rsidRPr="00BD7457">
        <w:rPr>
          <w:rFonts w:ascii="Arial" w:hAnsi="Arial" w:cs="Arial"/>
          <w:color w:val="000000"/>
          <w:sz w:val="20"/>
          <w:szCs w:val="20"/>
          <w:shd w:val="clear" w:color="auto" w:fill="FFFFFF"/>
          <w:lang w:eastAsia="en-GB"/>
        </w:rPr>
        <w:t xml:space="preserve"> </w:t>
      </w:r>
      <w:r w:rsidRPr="00BD7457">
        <w:rPr>
          <w:color w:val="000000"/>
          <w:sz w:val="20"/>
          <w:szCs w:val="20"/>
          <w:shd w:val="clear" w:color="auto" w:fill="FFFFFF"/>
          <w:lang w:eastAsia="en-GB"/>
        </w:rPr>
        <w:t>and a member of both the Cochrane Diagnostic Test Accuracy Working Group and the Screening and Diagnostic Tests Methods Group.</w:t>
      </w:r>
    </w:p>
    <w:p w14:paraId="592AB8DD" w14:textId="77777777" w:rsidR="00D25552" w:rsidRPr="00BD7457" w:rsidRDefault="00D25552" w:rsidP="00D25552">
      <w:pPr>
        <w:rPr>
          <w:b/>
          <w:bCs/>
          <w:sz w:val="20"/>
          <w:szCs w:val="20"/>
        </w:rPr>
      </w:pPr>
      <w:r w:rsidRPr="00BD7457">
        <w:rPr>
          <w:b/>
          <w:bCs/>
          <w:sz w:val="20"/>
          <w:szCs w:val="20"/>
        </w:rPr>
        <w:t>Nicole Skoetz (NS)</w:t>
      </w:r>
    </w:p>
    <w:p w14:paraId="5702D166" w14:textId="77777777" w:rsidR="00D25552" w:rsidRPr="00BD7457" w:rsidRDefault="00D25552" w:rsidP="00D25552">
      <w:pPr>
        <w:rPr>
          <w:sz w:val="20"/>
          <w:szCs w:val="20"/>
        </w:rPr>
      </w:pPr>
      <w:r w:rsidRPr="00BD7457">
        <w:rPr>
          <w:sz w:val="20"/>
          <w:szCs w:val="20"/>
        </w:rPr>
        <w:t xml:space="preserve">Scientific Co-ordinator, Working Group Standard Operating Procedures of the Comprehensive Cancer </w:t>
      </w:r>
      <w:proofErr w:type="spellStart"/>
      <w:r w:rsidRPr="00BD7457">
        <w:rPr>
          <w:sz w:val="20"/>
          <w:szCs w:val="20"/>
        </w:rPr>
        <w:t>Centers</w:t>
      </w:r>
      <w:proofErr w:type="spellEnd"/>
      <w:r w:rsidRPr="00BD7457">
        <w:rPr>
          <w:sz w:val="20"/>
          <w:szCs w:val="20"/>
        </w:rPr>
        <w:t xml:space="preserve">, </w:t>
      </w:r>
      <w:proofErr w:type="spellStart"/>
      <w:r w:rsidRPr="00BD7457">
        <w:rPr>
          <w:sz w:val="20"/>
          <w:szCs w:val="20"/>
        </w:rPr>
        <w:t>Center</w:t>
      </w:r>
      <w:proofErr w:type="spellEnd"/>
      <w:r w:rsidRPr="00BD7457">
        <w:rPr>
          <w:sz w:val="20"/>
          <w:szCs w:val="20"/>
        </w:rPr>
        <w:t xml:space="preserve"> of Integrative Oncology Köln Bonn, and Co-ordinating Editor Cochrane Haematological Malignancies Group, Department of Internal Medicine, University Hospital of Cologne.</w:t>
      </w:r>
    </w:p>
    <w:p w14:paraId="7AE3DF4F" w14:textId="65AB503C" w:rsidR="00D25552" w:rsidRPr="00135793" w:rsidRDefault="00D25552" w:rsidP="00135793">
      <w:pPr>
        <w:rPr>
          <w:sz w:val="20"/>
          <w:szCs w:val="20"/>
        </w:rPr>
        <w:sectPr w:rsidR="00D25552" w:rsidRPr="00135793" w:rsidSect="00135793">
          <w:headerReference w:type="default" r:id="rId9"/>
          <w:footerReference w:type="default" r:id="rId10"/>
          <w:type w:val="continuous"/>
          <w:pgSz w:w="16838" w:h="11906" w:orient="landscape" w:code="9"/>
          <w:pgMar w:top="1134" w:right="1134" w:bottom="1134" w:left="1134" w:header="680" w:footer="624" w:gutter="0"/>
          <w:cols w:num="2" w:space="708"/>
          <w:docGrid w:linePitch="360"/>
        </w:sectPr>
      </w:pPr>
    </w:p>
    <w:p w14:paraId="5A073BE1" w14:textId="77777777" w:rsidR="004708C7" w:rsidRDefault="004708C7" w:rsidP="00135793">
      <w:pPr>
        <w:rPr>
          <w:rFonts w:asciiTheme="majorHAnsi" w:hAnsiTheme="majorHAnsi"/>
          <w:b/>
        </w:rPr>
      </w:pPr>
    </w:p>
    <w:p w14:paraId="39710426" w14:textId="4C2FACC7" w:rsidR="0011685D" w:rsidRPr="002C136B" w:rsidRDefault="004708C7" w:rsidP="002C136B">
      <w:pPr>
        <w:pStyle w:val="Heading1"/>
      </w:pPr>
      <w:r>
        <w:t>AGEND</w:t>
      </w:r>
      <w:r w:rsidR="002C136B">
        <w:t>A</w:t>
      </w:r>
    </w:p>
    <w:p w14:paraId="29B6748D" w14:textId="4BC7C493" w:rsidR="00440FE9" w:rsidRDefault="00CC6EA5" w:rsidP="00135793">
      <w:pPr>
        <w:rPr>
          <w:rFonts w:asciiTheme="majorHAnsi" w:hAnsiTheme="majorHAnsi"/>
          <w:b/>
        </w:rPr>
      </w:pPr>
      <w:r w:rsidRPr="0054798C">
        <w:rPr>
          <w:rFonts w:asciiTheme="majorHAnsi" w:hAnsiTheme="majorHAnsi"/>
          <w:b/>
        </w:rPr>
        <w:t xml:space="preserve">Chairs </w:t>
      </w:r>
      <w:r w:rsidR="004708C7">
        <w:rPr>
          <w:rFonts w:asciiTheme="majorHAnsi" w:hAnsiTheme="majorHAnsi"/>
          <w:b/>
        </w:rPr>
        <w:t xml:space="preserve">of the Scientific Committee - </w:t>
      </w:r>
      <w:r w:rsidRPr="0054798C">
        <w:rPr>
          <w:rFonts w:asciiTheme="majorHAnsi" w:hAnsiTheme="majorHAnsi"/>
          <w:b/>
        </w:rPr>
        <w:t>Ana Marušić and Philip</w:t>
      </w:r>
      <w:r w:rsidR="00C334A0">
        <w:rPr>
          <w:rFonts w:asciiTheme="majorHAnsi" w:hAnsiTheme="majorHAnsi"/>
          <w:b/>
        </w:rPr>
        <w:t>p</w:t>
      </w:r>
      <w:r w:rsidRPr="0054798C">
        <w:rPr>
          <w:rFonts w:asciiTheme="majorHAnsi" w:hAnsiTheme="majorHAnsi"/>
          <w:b/>
        </w:rPr>
        <w:t>e Ravaud</w:t>
      </w:r>
    </w:p>
    <w:p w14:paraId="49CD2893" w14:textId="77777777" w:rsidR="00172BE3" w:rsidRDefault="00172BE3" w:rsidP="00135793">
      <w:pPr>
        <w:rPr>
          <w:rFonts w:asciiTheme="majorHAnsi" w:hAnsiTheme="majorHAnsi"/>
          <w:b/>
        </w:rPr>
      </w:pPr>
    </w:p>
    <w:p w14:paraId="2EB6C4E4" w14:textId="3DFD4EBD" w:rsidR="00A95B8B" w:rsidRDefault="002C136B" w:rsidP="00135793">
      <w:pPr>
        <w:rPr>
          <w:rFonts w:asciiTheme="majorHAnsi" w:hAnsiTheme="majorHAnsi"/>
          <w:b/>
        </w:rPr>
      </w:pPr>
      <w:r>
        <w:rPr>
          <w:rFonts w:asciiTheme="majorHAnsi" w:hAnsiTheme="majorHAnsi"/>
          <w:b/>
        </w:rPr>
        <w:t xml:space="preserve">21 June 2019, </w:t>
      </w:r>
      <w:r w:rsidRPr="002C136B">
        <w:rPr>
          <w:rFonts w:asciiTheme="majorHAnsi" w:hAnsiTheme="majorHAnsi"/>
          <w:b/>
        </w:rPr>
        <w:t>12.</w:t>
      </w:r>
      <w:r w:rsidR="00C7570E">
        <w:rPr>
          <w:rFonts w:asciiTheme="majorHAnsi" w:hAnsiTheme="majorHAnsi"/>
          <w:b/>
        </w:rPr>
        <w:t>45</w:t>
      </w:r>
      <w:r w:rsidRPr="002C136B">
        <w:rPr>
          <w:rFonts w:asciiTheme="majorHAnsi" w:hAnsiTheme="majorHAnsi"/>
          <w:b/>
        </w:rPr>
        <w:t>pm BST/13.</w:t>
      </w:r>
      <w:r w:rsidR="00C7570E">
        <w:rPr>
          <w:rFonts w:asciiTheme="majorHAnsi" w:hAnsiTheme="majorHAnsi"/>
          <w:b/>
        </w:rPr>
        <w:t>45</w:t>
      </w:r>
      <w:r w:rsidRPr="002C136B">
        <w:rPr>
          <w:rFonts w:asciiTheme="majorHAnsi" w:hAnsiTheme="majorHAnsi"/>
          <w:b/>
        </w:rPr>
        <w:t>pm CEST/07.</w:t>
      </w:r>
      <w:r w:rsidR="00C7570E">
        <w:rPr>
          <w:rFonts w:asciiTheme="majorHAnsi" w:hAnsiTheme="majorHAnsi"/>
          <w:b/>
        </w:rPr>
        <w:t>45</w:t>
      </w:r>
      <w:r w:rsidRPr="002C136B">
        <w:rPr>
          <w:rFonts w:asciiTheme="majorHAnsi" w:hAnsiTheme="majorHAnsi"/>
          <w:b/>
        </w:rPr>
        <w:t>am EDT/21.</w:t>
      </w:r>
      <w:r w:rsidR="00C7570E">
        <w:rPr>
          <w:rFonts w:asciiTheme="majorHAnsi" w:hAnsiTheme="majorHAnsi"/>
          <w:b/>
        </w:rPr>
        <w:t>45</w:t>
      </w:r>
      <w:r w:rsidRPr="002C136B">
        <w:rPr>
          <w:rFonts w:asciiTheme="majorHAnsi" w:hAnsiTheme="majorHAnsi"/>
          <w:b/>
        </w:rPr>
        <w:t>pm AEST</w:t>
      </w:r>
      <w:r>
        <w:rPr>
          <w:rFonts w:asciiTheme="majorHAnsi" w:hAnsiTheme="majorHAnsi"/>
          <w:b/>
        </w:rPr>
        <w:t xml:space="preserve"> (1 hour </w:t>
      </w:r>
      <w:r w:rsidR="00C7570E">
        <w:rPr>
          <w:rFonts w:asciiTheme="majorHAnsi" w:hAnsiTheme="majorHAnsi"/>
          <w:b/>
        </w:rPr>
        <w:t>15</w:t>
      </w:r>
      <w:r>
        <w:rPr>
          <w:rFonts w:asciiTheme="majorHAnsi" w:hAnsiTheme="majorHAnsi"/>
          <w:b/>
        </w:rPr>
        <w:t xml:space="preserve"> minutes)</w:t>
      </w:r>
    </w:p>
    <w:p w14:paraId="6990F3CB" w14:textId="78E5975F" w:rsidR="004708C7" w:rsidRDefault="004708C7" w:rsidP="00135793">
      <w:pPr>
        <w:rPr>
          <w:rFonts w:asciiTheme="majorHAnsi" w:hAnsiTheme="majorHAnsi"/>
          <w:b/>
          <w:u w:val="single"/>
        </w:rPr>
      </w:pPr>
    </w:p>
    <w:tbl>
      <w:tblPr>
        <w:tblStyle w:val="PlainTable2"/>
        <w:tblW w:w="14601" w:type="dxa"/>
        <w:tblLook w:val="04A0" w:firstRow="1" w:lastRow="0" w:firstColumn="1" w:lastColumn="0" w:noHBand="0" w:noVBand="1"/>
      </w:tblPr>
      <w:tblGrid>
        <w:gridCol w:w="3009"/>
        <w:gridCol w:w="11450"/>
        <w:gridCol w:w="142"/>
      </w:tblGrid>
      <w:tr w:rsidR="004708C7" w:rsidRPr="00D75B2D" w14:paraId="34126814" w14:textId="77777777" w:rsidTr="004B45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9" w:type="dxa"/>
          </w:tcPr>
          <w:p w14:paraId="14603D0E" w14:textId="60675CC6" w:rsidR="004708C7" w:rsidRPr="008E5102" w:rsidRDefault="004708C7" w:rsidP="000E1946">
            <w:pPr>
              <w:ind w:right="538"/>
              <w:rPr>
                <w:rFonts w:ascii="Source Sans Pro" w:hAnsi="Source Sans Pro"/>
              </w:rPr>
            </w:pPr>
            <w:r w:rsidRPr="008E5102">
              <w:rPr>
                <w:rFonts w:ascii="Source Sans Pro" w:hAnsi="Source Sans Pro"/>
              </w:rPr>
              <w:t>A</w:t>
            </w:r>
            <w:r w:rsidR="00BC19C9">
              <w:rPr>
                <w:rFonts w:ascii="Source Sans Pro" w:hAnsi="Source Sans Pro"/>
              </w:rPr>
              <w:t>genda item</w:t>
            </w:r>
          </w:p>
        </w:tc>
        <w:tc>
          <w:tcPr>
            <w:tcW w:w="11592" w:type="dxa"/>
            <w:gridSpan w:val="2"/>
          </w:tcPr>
          <w:p w14:paraId="4B130778" w14:textId="1A7CA473" w:rsidR="004708C7" w:rsidRPr="008E5102" w:rsidRDefault="004708C7" w:rsidP="000E1946">
            <w:pPr>
              <w:cnfStyle w:val="100000000000" w:firstRow="1" w:lastRow="0" w:firstColumn="0" w:lastColumn="0" w:oddVBand="0" w:evenVBand="0" w:oddHBand="0" w:evenHBand="0" w:firstRowFirstColumn="0" w:firstRowLastColumn="0" w:lastRowFirstColumn="0" w:lastRowLastColumn="0"/>
              <w:rPr>
                <w:rFonts w:ascii="Source Sans Pro" w:hAnsi="Source Sans Pro"/>
              </w:rPr>
            </w:pPr>
            <w:r w:rsidRPr="008E5102">
              <w:rPr>
                <w:rFonts w:ascii="Source Sans Pro" w:hAnsi="Source Sans Pro"/>
              </w:rPr>
              <w:t>Details</w:t>
            </w:r>
            <w:r w:rsidR="008E5102" w:rsidRPr="008E5102">
              <w:rPr>
                <w:rFonts w:ascii="Source Sans Pro" w:hAnsi="Source Sans Pro"/>
              </w:rPr>
              <w:t xml:space="preserve"> and </w:t>
            </w:r>
            <w:r w:rsidRPr="008E5102">
              <w:rPr>
                <w:rFonts w:ascii="Source Sans Pro" w:hAnsi="Source Sans Pro"/>
              </w:rPr>
              <w:t>links to documents or appendix</w:t>
            </w:r>
          </w:p>
        </w:tc>
      </w:tr>
      <w:tr w:rsidR="002C136B" w:rsidRPr="0081091A" w14:paraId="2FD1AE88" w14:textId="77777777" w:rsidTr="004B4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9" w:type="dxa"/>
          </w:tcPr>
          <w:p w14:paraId="40C0298B" w14:textId="77777777" w:rsidR="002C136B" w:rsidRPr="00D50DEF" w:rsidRDefault="002C136B" w:rsidP="004708C7">
            <w:pPr>
              <w:pStyle w:val="ListParagraph"/>
              <w:numPr>
                <w:ilvl w:val="0"/>
                <w:numId w:val="2"/>
              </w:numPr>
              <w:rPr>
                <w:rFonts w:ascii="Source Sans Pro" w:hAnsi="Source Sans Pro"/>
              </w:rPr>
            </w:pPr>
            <w:r>
              <w:rPr>
                <w:rFonts w:ascii="Source Sans Pro" w:hAnsi="Source Sans Pro"/>
              </w:rPr>
              <w:t>Welcome and apologies received</w:t>
            </w:r>
          </w:p>
          <w:p w14:paraId="0A916475" w14:textId="45755163" w:rsidR="00D50DEF" w:rsidRPr="008E5102" w:rsidRDefault="00D50DEF" w:rsidP="00D50DEF">
            <w:pPr>
              <w:pStyle w:val="ListParagraph"/>
              <w:ind w:left="360"/>
              <w:rPr>
                <w:rFonts w:ascii="Source Sans Pro" w:hAnsi="Source Sans Pro"/>
              </w:rPr>
            </w:pPr>
          </w:p>
        </w:tc>
        <w:tc>
          <w:tcPr>
            <w:tcW w:w="11592" w:type="dxa"/>
            <w:gridSpan w:val="2"/>
          </w:tcPr>
          <w:p w14:paraId="06C788A4" w14:textId="77777777" w:rsidR="002C136B" w:rsidRDefault="002C136B" w:rsidP="000E1946">
            <w:pPr>
              <w:cnfStyle w:val="000000100000" w:firstRow="0" w:lastRow="0" w:firstColumn="0" w:lastColumn="0" w:oddVBand="0" w:evenVBand="0" w:oddHBand="1" w:evenHBand="0" w:firstRowFirstColumn="0" w:firstRowLastColumn="0" w:lastRowFirstColumn="0" w:lastRowLastColumn="0"/>
              <w:rPr>
                <w:rFonts w:ascii="Source Sans Pro" w:hAnsi="Source Sans Pro"/>
                <w:sz w:val="20"/>
                <w:szCs w:val="20"/>
              </w:rPr>
            </w:pPr>
          </w:p>
        </w:tc>
      </w:tr>
      <w:tr w:rsidR="004708C7" w:rsidRPr="0081091A" w14:paraId="04B9F6D5" w14:textId="77777777" w:rsidTr="004B4510">
        <w:tc>
          <w:tcPr>
            <w:cnfStyle w:val="001000000000" w:firstRow="0" w:lastRow="0" w:firstColumn="1" w:lastColumn="0" w:oddVBand="0" w:evenVBand="0" w:oddHBand="0" w:evenHBand="0" w:firstRowFirstColumn="0" w:firstRowLastColumn="0" w:lastRowFirstColumn="0" w:lastRowLastColumn="0"/>
            <w:tcW w:w="3009" w:type="dxa"/>
          </w:tcPr>
          <w:p w14:paraId="599781F5" w14:textId="77777777" w:rsidR="004708C7" w:rsidRPr="008E5102" w:rsidRDefault="004708C7" w:rsidP="004708C7">
            <w:pPr>
              <w:pStyle w:val="ListParagraph"/>
              <w:numPr>
                <w:ilvl w:val="0"/>
                <w:numId w:val="2"/>
              </w:numPr>
              <w:rPr>
                <w:rFonts w:ascii="Source Sans Pro" w:hAnsi="Source Sans Pro"/>
              </w:rPr>
            </w:pPr>
            <w:r w:rsidRPr="008E5102">
              <w:rPr>
                <w:rFonts w:ascii="Source Sans Pro" w:hAnsi="Source Sans Pro"/>
              </w:rPr>
              <w:t>Approval of previous minutes</w:t>
            </w:r>
          </w:p>
        </w:tc>
        <w:tc>
          <w:tcPr>
            <w:tcW w:w="11592" w:type="dxa"/>
            <w:gridSpan w:val="2"/>
          </w:tcPr>
          <w:p w14:paraId="4443600A" w14:textId="0597F987" w:rsidR="004708C7" w:rsidRPr="009B63F9" w:rsidRDefault="002C136B" w:rsidP="000E1946">
            <w:pPr>
              <w:cnfStyle w:val="000000000000" w:firstRow="0" w:lastRow="0" w:firstColumn="0" w:lastColumn="0" w:oddVBand="0" w:evenVBand="0" w:oddHBand="0" w:evenHBand="0" w:firstRowFirstColumn="0" w:firstRowLastColumn="0" w:lastRowFirstColumn="0" w:lastRowLastColumn="0"/>
              <w:rPr>
                <w:rFonts w:ascii="Source Sans Pro" w:hAnsi="Source Sans Pro"/>
                <w:sz w:val="20"/>
                <w:szCs w:val="20"/>
                <w:u w:val="single"/>
              </w:rPr>
            </w:pPr>
            <w:r w:rsidRPr="009B63F9">
              <w:rPr>
                <w:rFonts w:ascii="Source Sans Pro" w:hAnsi="Source Sans Pro"/>
                <w:sz w:val="20"/>
                <w:szCs w:val="20"/>
                <w:u w:val="single"/>
              </w:rPr>
              <w:t xml:space="preserve">Approval of the minutes dated 31 March 2019 </w:t>
            </w:r>
            <w:r w:rsidR="00C334A0" w:rsidRPr="009B63F9">
              <w:rPr>
                <w:rFonts w:ascii="Source Sans Pro" w:hAnsi="Source Sans Pro"/>
                <w:sz w:val="20"/>
                <w:szCs w:val="20"/>
                <w:u w:val="single"/>
              </w:rPr>
              <w:t xml:space="preserve">– see </w:t>
            </w:r>
            <w:r w:rsidR="004708C7" w:rsidRPr="009B63F9">
              <w:rPr>
                <w:rFonts w:ascii="Source Sans Pro" w:hAnsi="Source Sans Pro"/>
                <w:b/>
                <w:sz w:val="20"/>
                <w:szCs w:val="20"/>
                <w:u w:val="single"/>
              </w:rPr>
              <w:t>Paper 1</w:t>
            </w:r>
            <w:r w:rsidR="00C334A0" w:rsidRPr="009B63F9">
              <w:rPr>
                <w:rFonts w:ascii="Source Sans Pro" w:hAnsi="Source Sans Pro"/>
                <w:sz w:val="20"/>
                <w:szCs w:val="20"/>
                <w:u w:val="single"/>
              </w:rPr>
              <w:t>.</w:t>
            </w:r>
          </w:p>
          <w:p w14:paraId="324C646B" w14:textId="1187F064" w:rsidR="009B63F9" w:rsidRDefault="009B63F9" w:rsidP="000E1946">
            <w:pPr>
              <w:cnfStyle w:val="000000000000" w:firstRow="0" w:lastRow="0" w:firstColumn="0" w:lastColumn="0" w:oddVBand="0" w:evenVBand="0" w:oddHBand="0" w:evenHBand="0" w:firstRowFirstColumn="0" w:firstRowLastColumn="0" w:lastRowFirstColumn="0" w:lastRowLastColumn="0"/>
              <w:rPr>
                <w:rFonts w:ascii="Source Sans Pro" w:hAnsi="Source Sans Pro"/>
                <w:sz w:val="20"/>
                <w:szCs w:val="20"/>
              </w:rPr>
            </w:pPr>
            <w:r>
              <w:rPr>
                <w:rFonts w:ascii="Source Sans Pro" w:hAnsi="Source Sans Pro"/>
                <w:sz w:val="20"/>
                <w:szCs w:val="20"/>
              </w:rPr>
              <w:t>Request for everyone to update their affiliation</w:t>
            </w:r>
            <w:r w:rsidR="006F53B7">
              <w:rPr>
                <w:rFonts w:ascii="Source Sans Pro" w:hAnsi="Source Sans Pro"/>
                <w:sz w:val="20"/>
                <w:szCs w:val="20"/>
              </w:rPr>
              <w:t xml:space="preserve"> details </w:t>
            </w:r>
            <w:r>
              <w:rPr>
                <w:rFonts w:ascii="Source Sans Pro" w:hAnsi="Source Sans Pro"/>
                <w:sz w:val="20"/>
                <w:szCs w:val="20"/>
              </w:rPr>
              <w:t>within the minutes from this meeting.</w:t>
            </w:r>
          </w:p>
          <w:p w14:paraId="5EDA3E8A" w14:textId="77777777" w:rsidR="002C136B" w:rsidRDefault="002C136B" w:rsidP="000E1946">
            <w:pPr>
              <w:cnfStyle w:val="000000000000" w:firstRow="0" w:lastRow="0" w:firstColumn="0" w:lastColumn="0" w:oddVBand="0" w:evenVBand="0" w:oddHBand="0" w:evenHBand="0" w:firstRowFirstColumn="0" w:firstRowLastColumn="0" w:lastRowFirstColumn="0" w:lastRowLastColumn="0"/>
              <w:rPr>
                <w:rFonts w:ascii="Source Sans Pro" w:hAnsi="Source Sans Pro"/>
                <w:sz w:val="20"/>
                <w:szCs w:val="20"/>
              </w:rPr>
            </w:pPr>
          </w:p>
          <w:p w14:paraId="6313ABFD" w14:textId="32401108" w:rsidR="002C136B" w:rsidRPr="008E5102" w:rsidRDefault="002C136B" w:rsidP="000E1946">
            <w:pPr>
              <w:cnfStyle w:val="000000000000" w:firstRow="0" w:lastRow="0" w:firstColumn="0" w:lastColumn="0" w:oddVBand="0" w:evenVBand="0" w:oddHBand="0" w:evenHBand="0" w:firstRowFirstColumn="0" w:firstRowLastColumn="0" w:lastRowFirstColumn="0" w:lastRowLastColumn="0"/>
              <w:rPr>
                <w:rFonts w:ascii="Source Sans Pro" w:hAnsi="Source Sans Pro"/>
                <w:sz w:val="20"/>
                <w:szCs w:val="20"/>
              </w:rPr>
            </w:pPr>
          </w:p>
        </w:tc>
      </w:tr>
      <w:tr w:rsidR="001D536E" w14:paraId="5F7A773F" w14:textId="77777777" w:rsidTr="004B4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9" w:type="dxa"/>
          </w:tcPr>
          <w:p w14:paraId="3867AF5F" w14:textId="17578A42" w:rsidR="001D536E" w:rsidRDefault="001D536E" w:rsidP="004708C7">
            <w:pPr>
              <w:pStyle w:val="ListParagraph"/>
              <w:numPr>
                <w:ilvl w:val="0"/>
                <w:numId w:val="2"/>
              </w:numPr>
              <w:rPr>
                <w:rFonts w:ascii="Source Sans Pro" w:hAnsi="Source Sans Pro"/>
              </w:rPr>
            </w:pPr>
            <w:r>
              <w:rPr>
                <w:rFonts w:ascii="Source Sans Pro" w:hAnsi="Source Sans Pro"/>
              </w:rPr>
              <w:t>Scientific Committee business matters</w:t>
            </w:r>
          </w:p>
        </w:tc>
        <w:tc>
          <w:tcPr>
            <w:tcW w:w="11592" w:type="dxa"/>
            <w:gridSpan w:val="2"/>
          </w:tcPr>
          <w:p w14:paraId="053A9CE9" w14:textId="26EEF2E0" w:rsidR="001D536E" w:rsidRDefault="006F53B7" w:rsidP="002C136B">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b/>
                <w:bCs/>
                <w:color w:val="000000"/>
                <w:sz w:val="20"/>
                <w:szCs w:val="20"/>
                <w:u w:val="single"/>
              </w:rPr>
            </w:pPr>
            <w:r>
              <w:rPr>
                <w:rFonts w:asciiTheme="majorHAnsi" w:eastAsia="Times New Roman" w:hAnsiTheme="majorHAnsi"/>
                <w:bCs/>
                <w:color w:val="000000"/>
                <w:sz w:val="20"/>
                <w:szCs w:val="20"/>
                <w:u w:val="single"/>
              </w:rPr>
              <w:t xml:space="preserve">3a) </w:t>
            </w:r>
            <w:r w:rsidR="001D536E">
              <w:rPr>
                <w:rFonts w:asciiTheme="majorHAnsi" w:eastAsia="Times New Roman" w:hAnsiTheme="majorHAnsi"/>
                <w:bCs/>
                <w:color w:val="000000"/>
                <w:sz w:val="20"/>
                <w:szCs w:val="20"/>
                <w:u w:val="single"/>
              </w:rPr>
              <w:t>Scientific Committee members</w:t>
            </w:r>
            <w:r w:rsidR="00D50DEF">
              <w:rPr>
                <w:rFonts w:asciiTheme="majorHAnsi" w:eastAsia="Times New Roman" w:hAnsiTheme="majorHAnsi"/>
                <w:bCs/>
                <w:color w:val="000000"/>
                <w:sz w:val="20"/>
                <w:szCs w:val="20"/>
                <w:u w:val="single"/>
              </w:rPr>
              <w:t>’</w:t>
            </w:r>
            <w:r w:rsidR="001D536E">
              <w:rPr>
                <w:rFonts w:asciiTheme="majorHAnsi" w:eastAsia="Times New Roman" w:hAnsiTheme="majorHAnsi"/>
                <w:bCs/>
                <w:color w:val="000000"/>
                <w:sz w:val="20"/>
                <w:szCs w:val="20"/>
                <w:u w:val="single"/>
              </w:rPr>
              <w:t xml:space="preserve"> tenure – see </w:t>
            </w:r>
            <w:r w:rsidR="001D536E" w:rsidRPr="001D536E">
              <w:rPr>
                <w:rFonts w:asciiTheme="majorHAnsi" w:eastAsia="Times New Roman" w:hAnsiTheme="majorHAnsi"/>
                <w:b/>
                <w:bCs/>
                <w:color w:val="000000"/>
                <w:sz w:val="20"/>
                <w:szCs w:val="20"/>
                <w:u w:val="single"/>
              </w:rPr>
              <w:t>Appendix 1</w:t>
            </w:r>
            <w:r w:rsidR="00C7570E">
              <w:rPr>
                <w:rFonts w:asciiTheme="majorHAnsi" w:eastAsia="Times New Roman" w:hAnsiTheme="majorHAnsi"/>
                <w:b/>
                <w:bCs/>
                <w:color w:val="000000"/>
                <w:sz w:val="20"/>
                <w:szCs w:val="20"/>
                <w:u w:val="single"/>
              </w:rPr>
              <w:t xml:space="preserve"> </w:t>
            </w:r>
            <w:r w:rsidR="00C7570E" w:rsidRPr="00C7570E">
              <w:rPr>
                <w:rFonts w:asciiTheme="majorHAnsi" w:eastAsia="Times New Roman" w:hAnsiTheme="majorHAnsi"/>
                <w:bCs/>
                <w:color w:val="000000"/>
                <w:sz w:val="20"/>
                <w:szCs w:val="20"/>
                <w:u w:val="single"/>
              </w:rPr>
              <w:t>and</w:t>
            </w:r>
            <w:r w:rsidR="00C7570E">
              <w:rPr>
                <w:rFonts w:asciiTheme="majorHAnsi" w:eastAsia="Times New Roman" w:hAnsiTheme="majorHAnsi"/>
                <w:b/>
                <w:bCs/>
                <w:color w:val="000000"/>
                <w:sz w:val="20"/>
                <w:szCs w:val="20"/>
                <w:u w:val="single"/>
              </w:rPr>
              <w:t xml:space="preserve"> Paper 2</w:t>
            </w:r>
            <w:r w:rsidR="001D536E" w:rsidRPr="001D536E">
              <w:rPr>
                <w:rFonts w:asciiTheme="majorHAnsi" w:eastAsia="Times New Roman" w:hAnsiTheme="majorHAnsi"/>
                <w:b/>
                <w:bCs/>
                <w:color w:val="000000"/>
                <w:sz w:val="20"/>
                <w:szCs w:val="20"/>
                <w:u w:val="single"/>
              </w:rPr>
              <w:t>.</w:t>
            </w:r>
          </w:p>
          <w:p w14:paraId="7DC9B32C" w14:textId="60FC09F2" w:rsidR="00EE5D1D" w:rsidRDefault="00EE5D1D" w:rsidP="002C136B">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bCs/>
                <w:color w:val="000000"/>
                <w:sz w:val="20"/>
                <w:szCs w:val="20"/>
              </w:rPr>
            </w:pPr>
            <w:r w:rsidRPr="00EE5D1D">
              <w:rPr>
                <w:rFonts w:asciiTheme="majorHAnsi" w:eastAsia="Times New Roman" w:hAnsiTheme="majorHAnsi"/>
                <w:bCs/>
                <w:color w:val="000000"/>
                <w:sz w:val="20"/>
                <w:szCs w:val="20"/>
              </w:rPr>
              <w:t>All to confirm who fills which role within the Scientific Committee.</w:t>
            </w:r>
          </w:p>
          <w:p w14:paraId="40167D6E" w14:textId="271DE4FA" w:rsidR="00815259" w:rsidRDefault="00815259" w:rsidP="002C136B">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bCs/>
                <w:color w:val="000000"/>
                <w:sz w:val="20"/>
                <w:szCs w:val="20"/>
              </w:rPr>
            </w:pPr>
            <w:r>
              <w:rPr>
                <w:rFonts w:asciiTheme="majorHAnsi" w:eastAsia="Times New Roman" w:hAnsiTheme="majorHAnsi"/>
                <w:bCs/>
                <w:color w:val="000000"/>
                <w:sz w:val="20"/>
                <w:szCs w:val="20"/>
              </w:rPr>
              <w:t xml:space="preserve">Ask Scientific Committee members to begin </w:t>
            </w:r>
            <w:r w:rsidR="009B63F9">
              <w:rPr>
                <w:rFonts w:asciiTheme="majorHAnsi" w:eastAsia="Times New Roman" w:hAnsiTheme="majorHAnsi"/>
                <w:bCs/>
                <w:color w:val="000000"/>
                <w:sz w:val="20"/>
                <w:szCs w:val="20"/>
              </w:rPr>
              <w:t>considering if</w:t>
            </w:r>
            <w:r>
              <w:rPr>
                <w:rFonts w:asciiTheme="majorHAnsi" w:eastAsia="Times New Roman" w:hAnsiTheme="majorHAnsi"/>
                <w:bCs/>
                <w:color w:val="000000"/>
                <w:sz w:val="20"/>
                <w:szCs w:val="20"/>
              </w:rPr>
              <w:t xml:space="preserve"> they want to step down in 2020 or if they would like to remain in the position for an extended time (we require some continuation of knowledge and experience with members remaining).</w:t>
            </w:r>
          </w:p>
          <w:p w14:paraId="27E2EB92" w14:textId="3150FEC1" w:rsidR="00EE5D1D" w:rsidRPr="006F53B7" w:rsidRDefault="009B63F9" w:rsidP="002C136B">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b/>
                <w:bCs/>
                <w:color w:val="000000"/>
                <w:sz w:val="20"/>
                <w:szCs w:val="20"/>
              </w:rPr>
            </w:pPr>
            <w:r w:rsidRPr="009B63F9">
              <w:rPr>
                <w:rFonts w:asciiTheme="majorHAnsi" w:eastAsia="Times New Roman" w:hAnsiTheme="majorHAnsi"/>
                <w:b/>
                <w:bCs/>
                <w:color w:val="000000"/>
                <w:sz w:val="20"/>
                <w:szCs w:val="20"/>
              </w:rPr>
              <w:t xml:space="preserve">ACTION ALL: Confirm with the Co-Chairs and EF </w:t>
            </w:r>
            <w:r w:rsidR="00C7570E">
              <w:rPr>
                <w:rFonts w:asciiTheme="majorHAnsi" w:eastAsia="Times New Roman" w:hAnsiTheme="majorHAnsi"/>
                <w:b/>
                <w:bCs/>
                <w:color w:val="000000"/>
                <w:sz w:val="20"/>
                <w:szCs w:val="20"/>
              </w:rPr>
              <w:t>if</w:t>
            </w:r>
            <w:r w:rsidRPr="009B63F9">
              <w:rPr>
                <w:rFonts w:asciiTheme="majorHAnsi" w:eastAsia="Times New Roman" w:hAnsiTheme="majorHAnsi"/>
                <w:b/>
                <w:bCs/>
                <w:color w:val="000000"/>
                <w:sz w:val="20"/>
                <w:szCs w:val="20"/>
              </w:rPr>
              <w:t xml:space="preserve"> you would like to remain on the Scientific Committee or step down in 2020</w:t>
            </w:r>
            <w:r w:rsidR="00C7570E">
              <w:rPr>
                <w:rFonts w:asciiTheme="majorHAnsi" w:eastAsia="Times New Roman" w:hAnsiTheme="majorHAnsi"/>
                <w:b/>
                <w:bCs/>
                <w:color w:val="000000"/>
                <w:sz w:val="20"/>
                <w:szCs w:val="20"/>
              </w:rPr>
              <w:t>,</w:t>
            </w:r>
            <w:r w:rsidRPr="009B63F9">
              <w:rPr>
                <w:rFonts w:asciiTheme="majorHAnsi" w:eastAsia="Times New Roman" w:hAnsiTheme="majorHAnsi"/>
                <w:b/>
                <w:bCs/>
                <w:color w:val="000000"/>
                <w:sz w:val="20"/>
                <w:szCs w:val="20"/>
              </w:rPr>
              <w:t xml:space="preserve"> by 19 July 2019</w:t>
            </w:r>
            <w:r w:rsidR="00C7570E">
              <w:rPr>
                <w:rFonts w:asciiTheme="majorHAnsi" w:eastAsia="Times New Roman" w:hAnsiTheme="majorHAnsi"/>
                <w:b/>
                <w:bCs/>
                <w:color w:val="000000"/>
                <w:sz w:val="20"/>
                <w:szCs w:val="20"/>
              </w:rPr>
              <w:t>.</w:t>
            </w:r>
          </w:p>
          <w:p w14:paraId="7CBFA719" w14:textId="26EE87F8" w:rsidR="00EE5D1D" w:rsidRDefault="00EE5D1D" w:rsidP="002C136B">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bCs/>
                <w:color w:val="000000"/>
                <w:sz w:val="20"/>
                <w:szCs w:val="20"/>
                <w:u w:val="single"/>
              </w:rPr>
            </w:pPr>
          </w:p>
        </w:tc>
      </w:tr>
      <w:tr w:rsidR="004708C7" w14:paraId="7F189FC3" w14:textId="77777777" w:rsidTr="004B4510">
        <w:tc>
          <w:tcPr>
            <w:cnfStyle w:val="001000000000" w:firstRow="0" w:lastRow="0" w:firstColumn="1" w:lastColumn="0" w:oddVBand="0" w:evenVBand="0" w:oddHBand="0" w:evenHBand="0" w:firstRowFirstColumn="0" w:firstRowLastColumn="0" w:lastRowFirstColumn="0" w:lastRowLastColumn="0"/>
            <w:tcW w:w="3009" w:type="dxa"/>
          </w:tcPr>
          <w:p w14:paraId="6D3F0EC3" w14:textId="6C767446" w:rsidR="004708C7" w:rsidRPr="008E5102" w:rsidRDefault="004708C7" w:rsidP="001D536E">
            <w:pPr>
              <w:pStyle w:val="ListParagraph"/>
              <w:ind w:left="360"/>
              <w:rPr>
                <w:rFonts w:ascii="Source Sans Pro" w:hAnsi="Source Sans Pro"/>
              </w:rPr>
            </w:pPr>
          </w:p>
        </w:tc>
        <w:tc>
          <w:tcPr>
            <w:tcW w:w="11592" w:type="dxa"/>
            <w:gridSpan w:val="2"/>
          </w:tcPr>
          <w:p w14:paraId="32A691C6" w14:textId="46A16FC1" w:rsidR="002C136B" w:rsidRDefault="006F53B7" w:rsidP="002C136B">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bCs/>
                <w:color w:val="000000"/>
                <w:sz w:val="20"/>
                <w:szCs w:val="20"/>
                <w:u w:val="single"/>
              </w:rPr>
            </w:pPr>
            <w:r>
              <w:rPr>
                <w:rFonts w:asciiTheme="majorHAnsi" w:eastAsia="Times New Roman" w:hAnsiTheme="majorHAnsi"/>
                <w:bCs/>
                <w:color w:val="000000"/>
                <w:sz w:val="20"/>
                <w:szCs w:val="20"/>
                <w:u w:val="single"/>
              </w:rPr>
              <w:t xml:space="preserve">3b) </w:t>
            </w:r>
            <w:r w:rsidR="002C136B">
              <w:rPr>
                <w:rFonts w:asciiTheme="majorHAnsi" w:eastAsia="Times New Roman" w:hAnsiTheme="majorHAnsi"/>
                <w:bCs/>
                <w:color w:val="000000"/>
                <w:sz w:val="20"/>
                <w:szCs w:val="20"/>
                <w:u w:val="single"/>
              </w:rPr>
              <w:t xml:space="preserve">Recent project updates from the Content Strategy, </w:t>
            </w:r>
            <w:proofErr w:type="spellStart"/>
            <w:r w:rsidR="002C136B">
              <w:rPr>
                <w:rFonts w:asciiTheme="majorHAnsi" w:eastAsia="Times New Roman" w:hAnsiTheme="majorHAnsi"/>
                <w:bCs/>
                <w:color w:val="000000"/>
                <w:sz w:val="20"/>
                <w:szCs w:val="20"/>
                <w:u w:val="single"/>
              </w:rPr>
              <w:t>inc.</w:t>
            </w:r>
            <w:proofErr w:type="spellEnd"/>
            <w:r w:rsidR="002C136B">
              <w:rPr>
                <w:rFonts w:asciiTheme="majorHAnsi" w:eastAsia="Times New Roman" w:hAnsiTheme="majorHAnsi"/>
                <w:bCs/>
                <w:color w:val="000000"/>
                <w:sz w:val="20"/>
                <w:szCs w:val="20"/>
                <w:u w:val="single"/>
              </w:rPr>
              <w:t xml:space="preserve"> </w:t>
            </w:r>
            <w:proofErr w:type="spellStart"/>
            <w:r w:rsidR="002C136B">
              <w:rPr>
                <w:rFonts w:asciiTheme="majorHAnsi" w:eastAsia="Times New Roman" w:hAnsiTheme="majorHAnsi"/>
                <w:bCs/>
                <w:color w:val="000000"/>
                <w:sz w:val="20"/>
                <w:szCs w:val="20"/>
                <w:u w:val="single"/>
              </w:rPr>
              <w:t>RoB</w:t>
            </w:r>
            <w:proofErr w:type="spellEnd"/>
            <w:r w:rsidR="002C136B">
              <w:rPr>
                <w:rFonts w:asciiTheme="majorHAnsi" w:eastAsia="Times New Roman" w:hAnsiTheme="majorHAnsi"/>
                <w:bCs/>
                <w:color w:val="000000"/>
                <w:sz w:val="20"/>
                <w:szCs w:val="20"/>
                <w:u w:val="single"/>
              </w:rPr>
              <w:t xml:space="preserve"> 2, clinical study report </w:t>
            </w:r>
            <w:proofErr w:type="gramStart"/>
            <w:r w:rsidR="002C136B">
              <w:rPr>
                <w:rFonts w:asciiTheme="majorHAnsi" w:eastAsia="Times New Roman" w:hAnsiTheme="majorHAnsi"/>
                <w:bCs/>
                <w:color w:val="000000"/>
                <w:sz w:val="20"/>
                <w:szCs w:val="20"/>
                <w:u w:val="single"/>
              </w:rPr>
              <w:t>use</w:t>
            </w:r>
            <w:proofErr w:type="gramEnd"/>
            <w:r w:rsidR="002C136B">
              <w:rPr>
                <w:rFonts w:asciiTheme="majorHAnsi" w:eastAsia="Times New Roman" w:hAnsiTheme="majorHAnsi"/>
                <w:bCs/>
                <w:color w:val="000000"/>
                <w:sz w:val="20"/>
                <w:szCs w:val="20"/>
                <w:u w:val="single"/>
              </w:rPr>
              <w:t>, prognosis reviews, rapid reviews, living reviews,</w:t>
            </w:r>
            <w:r w:rsidR="00634DE2">
              <w:rPr>
                <w:rFonts w:asciiTheme="majorHAnsi" w:eastAsia="Times New Roman" w:hAnsiTheme="majorHAnsi"/>
                <w:bCs/>
                <w:color w:val="000000"/>
                <w:sz w:val="20"/>
                <w:szCs w:val="20"/>
                <w:u w:val="single"/>
              </w:rPr>
              <w:t xml:space="preserve"> network meta-analysis, and</w:t>
            </w:r>
            <w:r w:rsidR="002C136B">
              <w:rPr>
                <w:rFonts w:asciiTheme="majorHAnsi" w:eastAsia="Times New Roman" w:hAnsiTheme="majorHAnsi"/>
                <w:bCs/>
                <w:color w:val="000000"/>
                <w:sz w:val="20"/>
                <w:szCs w:val="20"/>
                <w:u w:val="single"/>
              </w:rPr>
              <w:t xml:space="preserve"> equity.</w:t>
            </w:r>
          </w:p>
          <w:p w14:paraId="3B3314DF" w14:textId="4DDCF724" w:rsidR="002C136B" w:rsidRDefault="002C136B" w:rsidP="002C136B">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olor w:val="000000"/>
                <w:sz w:val="20"/>
                <w:szCs w:val="20"/>
              </w:rPr>
            </w:pPr>
            <w:r>
              <w:rPr>
                <w:rFonts w:asciiTheme="majorHAnsi" w:eastAsia="Times New Roman" w:hAnsiTheme="majorHAnsi"/>
                <w:color w:val="000000"/>
                <w:sz w:val="20"/>
                <w:szCs w:val="20"/>
              </w:rPr>
              <w:t>Updates from EF.</w:t>
            </w:r>
          </w:p>
          <w:p w14:paraId="27263053" w14:textId="6C7FD860" w:rsidR="00C340E0" w:rsidRPr="008E5102" w:rsidRDefault="00C340E0" w:rsidP="006F53B7">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p>
        </w:tc>
      </w:tr>
      <w:tr w:rsidR="008E5102" w:rsidRPr="0081091A" w14:paraId="6F7C34AB" w14:textId="77777777" w:rsidTr="004B4510">
        <w:trPr>
          <w:gridAfter w:val="1"/>
          <w:cnfStyle w:val="000000100000" w:firstRow="0" w:lastRow="0" w:firstColumn="0" w:lastColumn="0" w:oddVBand="0" w:evenVBand="0" w:oddHBand="1" w:evenHBand="0" w:firstRowFirstColumn="0" w:firstRowLastColumn="0" w:lastRowFirstColumn="0" w:lastRowLastColumn="0"/>
          <w:wAfter w:w="142" w:type="dxa"/>
        </w:trPr>
        <w:tc>
          <w:tcPr>
            <w:cnfStyle w:val="001000000000" w:firstRow="0" w:lastRow="0" w:firstColumn="1" w:lastColumn="0" w:oddVBand="0" w:evenVBand="0" w:oddHBand="0" w:evenHBand="0" w:firstRowFirstColumn="0" w:firstRowLastColumn="0" w:lastRowFirstColumn="0" w:lastRowLastColumn="0"/>
            <w:tcW w:w="3009" w:type="dxa"/>
          </w:tcPr>
          <w:p w14:paraId="1C0A3F01" w14:textId="3F6241E1" w:rsidR="008E5102" w:rsidRPr="008E5102" w:rsidRDefault="008E5102" w:rsidP="001D536E">
            <w:pPr>
              <w:pStyle w:val="ListParagraph"/>
              <w:ind w:left="360"/>
              <w:rPr>
                <w:rFonts w:ascii="Source Sans Pro" w:hAnsi="Source Sans Pro"/>
              </w:rPr>
            </w:pPr>
          </w:p>
        </w:tc>
        <w:tc>
          <w:tcPr>
            <w:tcW w:w="11450" w:type="dxa"/>
          </w:tcPr>
          <w:p w14:paraId="5CD3337E" w14:textId="679FF4C6" w:rsidR="001D536E" w:rsidRDefault="006F53B7" w:rsidP="001D536E">
            <w:pPr>
              <w:pStyle w:val="Heading2"/>
              <w:spacing w:before="0"/>
              <w:outlineLvl w:val="1"/>
              <w:cnfStyle w:val="000000100000" w:firstRow="0" w:lastRow="0" w:firstColumn="0" w:lastColumn="0" w:oddVBand="0" w:evenVBand="0" w:oddHBand="1" w:evenHBand="0" w:firstRowFirstColumn="0" w:firstRowLastColumn="0" w:lastRowFirstColumn="0" w:lastRowLastColumn="0"/>
              <w:rPr>
                <w:rFonts w:eastAsia="Times New Roman"/>
                <w:b w:val="0"/>
                <w:color w:val="auto"/>
                <w:sz w:val="20"/>
                <w:szCs w:val="20"/>
                <w:u w:val="single"/>
              </w:rPr>
            </w:pPr>
            <w:r>
              <w:rPr>
                <w:rFonts w:eastAsia="Times New Roman"/>
                <w:b w:val="0"/>
                <w:color w:val="auto"/>
                <w:sz w:val="20"/>
                <w:szCs w:val="20"/>
                <w:u w:val="single"/>
              </w:rPr>
              <w:t xml:space="preserve">3c) </w:t>
            </w:r>
            <w:r w:rsidR="001D536E">
              <w:rPr>
                <w:rFonts w:eastAsia="Times New Roman"/>
                <w:b w:val="0"/>
                <w:color w:val="auto"/>
                <w:sz w:val="20"/>
                <w:szCs w:val="20"/>
                <w:u w:val="single"/>
              </w:rPr>
              <w:t>New methods submission process and website</w:t>
            </w:r>
            <w:r>
              <w:rPr>
                <w:rFonts w:eastAsia="Times New Roman"/>
                <w:b w:val="0"/>
                <w:color w:val="auto"/>
                <w:sz w:val="20"/>
                <w:szCs w:val="20"/>
                <w:u w:val="single"/>
              </w:rPr>
              <w:t xml:space="preserve"> updates</w:t>
            </w:r>
          </w:p>
          <w:p w14:paraId="2D6B51AD" w14:textId="77777777" w:rsidR="001D536E" w:rsidRDefault="001D536E" w:rsidP="001D536E">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Pr>
                <w:rFonts w:asciiTheme="majorHAnsi" w:hAnsiTheme="majorHAnsi"/>
                <w:sz w:val="20"/>
                <w:szCs w:val="20"/>
              </w:rPr>
              <w:t>Update from EF.</w:t>
            </w:r>
          </w:p>
          <w:p w14:paraId="501FD005" w14:textId="312224EF" w:rsidR="00915FAA" w:rsidRPr="00915FAA" w:rsidRDefault="00915FAA" w:rsidP="00DA321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b/>
                <w:color w:val="000000"/>
                <w:sz w:val="20"/>
                <w:szCs w:val="20"/>
              </w:rPr>
            </w:pPr>
          </w:p>
        </w:tc>
      </w:tr>
      <w:tr w:rsidR="001D536E" w14:paraId="7F61C22F" w14:textId="77777777" w:rsidTr="004B4510">
        <w:trPr>
          <w:gridAfter w:val="1"/>
          <w:wAfter w:w="142" w:type="dxa"/>
        </w:trPr>
        <w:tc>
          <w:tcPr>
            <w:cnfStyle w:val="001000000000" w:firstRow="0" w:lastRow="0" w:firstColumn="1" w:lastColumn="0" w:oddVBand="0" w:evenVBand="0" w:oddHBand="0" w:evenHBand="0" w:firstRowFirstColumn="0" w:firstRowLastColumn="0" w:lastRowFirstColumn="0" w:lastRowLastColumn="0"/>
            <w:tcW w:w="3009" w:type="dxa"/>
          </w:tcPr>
          <w:p w14:paraId="72684569" w14:textId="5D9A3523" w:rsidR="001D536E" w:rsidRDefault="001D536E" w:rsidP="001D536E">
            <w:pPr>
              <w:pStyle w:val="ListParagraph"/>
              <w:numPr>
                <w:ilvl w:val="0"/>
                <w:numId w:val="2"/>
              </w:numPr>
              <w:rPr>
                <w:rFonts w:asciiTheme="majorHAnsi" w:eastAsia="Times New Roman" w:hAnsiTheme="majorHAnsi"/>
                <w:color w:val="000000"/>
              </w:rPr>
            </w:pPr>
            <w:r>
              <w:rPr>
                <w:rFonts w:asciiTheme="majorHAnsi" w:hAnsiTheme="majorHAnsi"/>
              </w:rPr>
              <w:t xml:space="preserve">New submission(s) </w:t>
            </w:r>
            <w:r w:rsidRPr="0054798C">
              <w:rPr>
                <w:rFonts w:asciiTheme="majorHAnsi" w:hAnsiTheme="majorHAnsi"/>
              </w:rPr>
              <w:t>for Scientific Committee Review</w:t>
            </w:r>
          </w:p>
        </w:tc>
        <w:tc>
          <w:tcPr>
            <w:tcW w:w="11450" w:type="dxa"/>
          </w:tcPr>
          <w:p w14:paraId="253BBA2B" w14:textId="0D329C33" w:rsidR="001D536E" w:rsidRPr="001D536E" w:rsidRDefault="001D536E" w:rsidP="001D536E">
            <w:pPr>
              <w:pStyle w:val="xmsonormal"/>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olor w:val="000000"/>
                <w:sz w:val="20"/>
                <w:szCs w:val="20"/>
              </w:rPr>
            </w:pPr>
            <w:r w:rsidRPr="001D536E">
              <w:rPr>
                <w:rFonts w:asciiTheme="majorHAnsi" w:eastAsia="Times New Roman" w:hAnsiTheme="majorHAnsi"/>
                <w:color w:val="000000"/>
                <w:sz w:val="20"/>
                <w:szCs w:val="20"/>
              </w:rPr>
              <w:t>No further submissions.</w:t>
            </w:r>
          </w:p>
        </w:tc>
      </w:tr>
      <w:tr w:rsidR="001D536E" w14:paraId="1A1B6B85" w14:textId="77777777" w:rsidTr="004B4510">
        <w:trPr>
          <w:gridAfter w:val="1"/>
          <w:cnfStyle w:val="000000100000" w:firstRow="0" w:lastRow="0" w:firstColumn="0" w:lastColumn="0" w:oddVBand="0" w:evenVBand="0" w:oddHBand="1" w:evenHBand="0" w:firstRowFirstColumn="0" w:firstRowLastColumn="0" w:lastRowFirstColumn="0" w:lastRowLastColumn="0"/>
          <w:wAfter w:w="142" w:type="dxa"/>
        </w:trPr>
        <w:tc>
          <w:tcPr>
            <w:cnfStyle w:val="001000000000" w:firstRow="0" w:lastRow="0" w:firstColumn="1" w:lastColumn="0" w:oddVBand="0" w:evenVBand="0" w:oddHBand="0" w:evenHBand="0" w:firstRowFirstColumn="0" w:firstRowLastColumn="0" w:lastRowFirstColumn="0" w:lastRowLastColumn="0"/>
            <w:tcW w:w="3009" w:type="dxa"/>
          </w:tcPr>
          <w:p w14:paraId="1F16FDFD" w14:textId="2A27B911" w:rsidR="001D536E" w:rsidRPr="008E5102" w:rsidRDefault="001D536E" w:rsidP="001D536E">
            <w:pPr>
              <w:pStyle w:val="ListParagraph"/>
              <w:numPr>
                <w:ilvl w:val="0"/>
                <w:numId w:val="2"/>
              </w:numPr>
              <w:rPr>
                <w:rFonts w:ascii="Source Sans Pro" w:hAnsi="Source Sans Pro"/>
              </w:rPr>
            </w:pPr>
            <w:r>
              <w:rPr>
                <w:rFonts w:asciiTheme="majorHAnsi" w:eastAsia="Times New Roman" w:hAnsiTheme="majorHAnsi"/>
                <w:color w:val="000000"/>
              </w:rPr>
              <w:lastRenderedPageBreak/>
              <w:t>Updates on methods undergoing Scientific Committee Review</w:t>
            </w:r>
          </w:p>
        </w:tc>
        <w:tc>
          <w:tcPr>
            <w:tcW w:w="11450" w:type="dxa"/>
          </w:tcPr>
          <w:p w14:paraId="6C5B31E0" w14:textId="67840405" w:rsidR="009D2BA1" w:rsidRPr="00402D92" w:rsidRDefault="009D2BA1" w:rsidP="009D2BA1">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Lucida Grande"/>
                <w:sz w:val="20"/>
                <w:szCs w:val="20"/>
                <w:u w:val="single"/>
                <w:lang w:eastAsia="en-GB"/>
              </w:rPr>
            </w:pPr>
            <w:r w:rsidRPr="00402D92">
              <w:rPr>
                <w:rFonts w:ascii="Source Sans Pro" w:hAnsi="Source Sans Pro"/>
                <w:sz w:val="20"/>
                <w:szCs w:val="20"/>
                <w:u w:val="single"/>
              </w:rPr>
              <w:t xml:space="preserve">See submission in </w:t>
            </w:r>
            <w:r w:rsidRPr="00402D92">
              <w:rPr>
                <w:rFonts w:ascii="Source Sans Pro" w:hAnsi="Source Sans Pro"/>
                <w:b/>
                <w:sz w:val="20"/>
                <w:szCs w:val="20"/>
                <w:u w:val="single"/>
              </w:rPr>
              <w:t xml:space="preserve">Appendix </w:t>
            </w:r>
            <w:r>
              <w:rPr>
                <w:rFonts w:ascii="Source Sans Pro" w:hAnsi="Source Sans Pro"/>
                <w:b/>
                <w:sz w:val="20"/>
                <w:szCs w:val="20"/>
                <w:u w:val="single"/>
              </w:rPr>
              <w:t>2</w:t>
            </w:r>
            <w:r w:rsidRPr="00402D92">
              <w:rPr>
                <w:rFonts w:ascii="Source Sans Pro" w:hAnsi="Source Sans Pro"/>
                <w:b/>
                <w:sz w:val="20"/>
                <w:szCs w:val="20"/>
                <w:u w:val="single"/>
              </w:rPr>
              <w:t xml:space="preserve">: </w:t>
            </w:r>
            <w:r w:rsidRPr="00402D92">
              <w:rPr>
                <w:rFonts w:asciiTheme="majorHAnsi" w:eastAsia="Times New Roman" w:hAnsiTheme="majorHAnsi" w:cs="Lucida Grande"/>
                <w:sz w:val="20"/>
                <w:szCs w:val="20"/>
                <w:u w:val="single"/>
                <w:lang w:eastAsia="en-GB"/>
              </w:rPr>
              <w:t>Use of interactive analysis framework to facilitate diagnostic test accuracy and network meta-analyses analyses</w:t>
            </w:r>
          </w:p>
          <w:p w14:paraId="01954960" w14:textId="33506E00" w:rsidR="009D2BA1" w:rsidRDefault="009D2BA1" w:rsidP="009D2BA1">
            <w:pPr>
              <w:cnfStyle w:val="000000100000" w:firstRow="0" w:lastRow="0" w:firstColumn="0" w:lastColumn="0" w:oddVBand="0" w:evenVBand="0" w:oddHBand="1" w:evenHBand="0" w:firstRowFirstColumn="0" w:firstRowLastColumn="0" w:lastRowFirstColumn="0" w:lastRowLastColumn="0"/>
              <w:rPr>
                <w:rFonts w:asciiTheme="majorHAnsi" w:hAnsiTheme="majorHAnsi"/>
                <w:b/>
                <w:sz w:val="20"/>
                <w:szCs w:val="20"/>
              </w:rPr>
            </w:pPr>
            <w:r>
              <w:rPr>
                <w:rFonts w:asciiTheme="majorHAnsi" w:hAnsiTheme="majorHAnsi"/>
                <w:sz w:val="20"/>
                <w:szCs w:val="20"/>
              </w:rPr>
              <w:t xml:space="preserve">Update from EF and JH following Methods Executive assessment of Methods Group feedback </w:t>
            </w:r>
            <w:r w:rsidRPr="009D2BA1">
              <w:rPr>
                <w:rFonts w:asciiTheme="majorHAnsi" w:hAnsiTheme="majorHAnsi"/>
                <w:sz w:val="20"/>
                <w:szCs w:val="20"/>
              </w:rPr>
              <w:t>(from the Comparing Multiple Interventions Methods Group and Diagnostic and Screening and Diagnostic Tests Methods Group).</w:t>
            </w:r>
          </w:p>
          <w:p w14:paraId="6E60FECA" w14:textId="5BE02CD2" w:rsidR="001D536E" w:rsidRPr="00B53E60" w:rsidRDefault="001D536E" w:rsidP="001D536E">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b/>
                <w:color w:val="000000"/>
                <w:sz w:val="20"/>
                <w:szCs w:val="20"/>
              </w:rPr>
            </w:pPr>
          </w:p>
        </w:tc>
      </w:tr>
      <w:tr w:rsidR="001D536E" w14:paraId="3F284F81" w14:textId="77777777" w:rsidTr="004B4510">
        <w:trPr>
          <w:gridAfter w:val="1"/>
          <w:wAfter w:w="142" w:type="dxa"/>
        </w:trPr>
        <w:tc>
          <w:tcPr>
            <w:cnfStyle w:val="001000000000" w:firstRow="0" w:lastRow="0" w:firstColumn="1" w:lastColumn="0" w:oddVBand="0" w:evenVBand="0" w:oddHBand="0" w:evenHBand="0" w:firstRowFirstColumn="0" w:firstRowLastColumn="0" w:lastRowFirstColumn="0" w:lastRowLastColumn="0"/>
            <w:tcW w:w="3009" w:type="dxa"/>
          </w:tcPr>
          <w:p w14:paraId="6BB29F7E" w14:textId="63C3CB76" w:rsidR="001D536E" w:rsidRDefault="001D536E" w:rsidP="001D536E">
            <w:pPr>
              <w:pStyle w:val="ListParagraph"/>
              <w:numPr>
                <w:ilvl w:val="0"/>
                <w:numId w:val="2"/>
              </w:numPr>
              <w:rPr>
                <w:rFonts w:asciiTheme="majorHAnsi" w:eastAsia="Times New Roman" w:hAnsiTheme="majorHAnsi"/>
                <w:color w:val="000000"/>
              </w:rPr>
            </w:pPr>
            <w:r>
              <w:rPr>
                <w:rFonts w:asciiTheme="majorHAnsi" w:eastAsia="Times New Roman" w:hAnsiTheme="majorHAnsi"/>
                <w:color w:val="000000"/>
              </w:rPr>
              <w:t>Methods for Scientific Committee sign-off or recommendation</w:t>
            </w:r>
          </w:p>
        </w:tc>
        <w:tc>
          <w:tcPr>
            <w:tcW w:w="11450" w:type="dxa"/>
          </w:tcPr>
          <w:p w14:paraId="3E9D99F6" w14:textId="448421A0" w:rsidR="001D536E" w:rsidRPr="00267923" w:rsidRDefault="00267923" w:rsidP="001D536E">
            <w:pPr>
              <w:pStyle w:val="xmsonormal"/>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olor w:val="000000"/>
                <w:sz w:val="20"/>
                <w:szCs w:val="20"/>
              </w:rPr>
            </w:pPr>
            <w:r w:rsidRPr="00267923">
              <w:rPr>
                <w:rFonts w:asciiTheme="majorHAnsi" w:eastAsia="Times New Roman" w:hAnsiTheme="majorHAnsi"/>
                <w:color w:val="000000"/>
                <w:sz w:val="20"/>
                <w:szCs w:val="20"/>
              </w:rPr>
              <w:t>No methods for sign-off or recommendations.</w:t>
            </w:r>
          </w:p>
        </w:tc>
      </w:tr>
      <w:tr w:rsidR="001D536E" w14:paraId="682C6708" w14:textId="77777777" w:rsidTr="004B4510">
        <w:trPr>
          <w:gridAfter w:val="1"/>
          <w:cnfStyle w:val="000000100000" w:firstRow="0" w:lastRow="0" w:firstColumn="0" w:lastColumn="0" w:oddVBand="0" w:evenVBand="0" w:oddHBand="1" w:evenHBand="0" w:firstRowFirstColumn="0" w:firstRowLastColumn="0" w:lastRowFirstColumn="0" w:lastRowLastColumn="0"/>
          <w:wAfter w:w="142" w:type="dxa"/>
        </w:trPr>
        <w:tc>
          <w:tcPr>
            <w:cnfStyle w:val="001000000000" w:firstRow="0" w:lastRow="0" w:firstColumn="1" w:lastColumn="0" w:oddVBand="0" w:evenVBand="0" w:oddHBand="0" w:evenHBand="0" w:firstRowFirstColumn="0" w:firstRowLastColumn="0" w:lastRowFirstColumn="0" w:lastRowLastColumn="0"/>
            <w:tcW w:w="3009" w:type="dxa"/>
          </w:tcPr>
          <w:p w14:paraId="1CCE2DD0" w14:textId="416B3457" w:rsidR="001D536E" w:rsidRDefault="001D536E" w:rsidP="001D536E">
            <w:pPr>
              <w:pStyle w:val="ListParagraph"/>
              <w:numPr>
                <w:ilvl w:val="0"/>
                <w:numId w:val="2"/>
              </w:numPr>
              <w:rPr>
                <w:rFonts w:asciiTheme="majorHAnsi" w:eastAsia="Times New Roman" w:hAnsiTheme="majorHAnsi"/>
                <w:color w:val="000000"/>
              </w:rPr>
            </w:pPr>
            <w:r>
              <w:rPr>
                <w:rFonts w:asciiTheme="majorHAnsi" w:eastAsia="Times New Roman" w:hAnsiTheme="majorHAnsi"/>
                <w:color w:val="000000"/>
              </w:rPr>
              <w:t>New methodological innovations for Cochrane’s agenda?</w:t>
            </w:r>
          </w:p>
        </w:tc>
        <w:tc>
          <w:tcPr>
            <w:tcW w:w="11450" w:type="dxa"/>
          </w:tcPr>
          <w:p w14:paraId="6ACD8B49" w14:textId="25B53E38" w:rsidR="00267923" w:rsidRDefault="00267923" w:rsidP="001D536E">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olor w:val="000000"/>
                <w:sz w:val="20"/>
                <w:szCs w:val="20"/>
              </w:rPr>
            </w:pPr>
            <w:r w:rsidRPr="00267923">
              <w:rPr>
                <w:rFonts w:asciiTheme="majorHAnsi" w:eastAsia="Times New Roman" w:hAnsiTheme="majorHAnsi"/>
                <w:color w:val="000000"/>
                <w:sz w:val="20"/>
                <w:szCs w:val="20"/>
              </w:rPr>
              <w:t xml:space="preserve">Discussion </w:t>
            </w:r>
            <w:r w:rsidR="006F53B7">
              <w:rPr>
                <w:rFonts w:asciiTheme="majorHAnsi" w:eastAsia="Times New Roman" w:hAnsiTheme="majorHAnsi"/>
                <w:color w:val="000000"/>
                <w:sz w:val="20"/>
                <w:szCs w:val="20"/>
              </w:rPr>
              <w:t>and</w:t>
            </w:r>
            <w:r w:rsidRPr="00267923">
              <w:rPr>
                <w:rFonts w:asciiTheme="majorHAnsi" w:eastAsia="Times New Roman" w:hAnsiTheme="majorHAnsi"/>
                <w:color w:val="000000"/>
                <w:sz w:val="20"/>
                <w:szCs w:val="20"/>
              </w:rPr>
              <w:t xml:space="preserve"> c</w:t>
            </w:r>
            <w:r w:rsidR="001D536E" w:rsidRPr="00267923">
              <w:rPr>
                <w:rFonts w:asciiTheme="majorHAnsi" w:eastAsia="Times New Roman" w:hAnsiTheme="majorHAnsi"/>
                <w:color w:val="000000"/>
                <w:sz w:val="20"/>
                <w:szCs w:val="20"/>
              </w:rPr>
              <w:t>onsiderations for future submissions.</w:t>
            </w:r>
            <w:r w:rsidR="005C3E56">
              <w:rPr>
                <w:rFonts w:asciiTheme="majorHAnsi" w:eastAsia="Times New Roman" w:hAnsiTheme="majorHAnsi"/>
                <w:color w:val="000000"/>
                <w:sz w:val="20"/>
                <w:szCs w:val="20"/>
              </w:rPr>
              <w:t xml:space="preserve"> Could we prioritise one or two </w:t>
            </w:r>
            <w:r w:rsidR="00C7570E">
              <w:rPr>
                <w:rFonts w:asciiTheme="majorHAnsi" w:eastAsia="Times New Roman" w:hAnsiTheme="majorHAnsi"/>
                <w:color w:val="000000"/>
                <w:sz w:val="20"/>
                <w:szCs w:val="20"/>
              </w:rPr>
              <w:t>and</w:t>
            </w:r>
            <w:r w:rsidR="005C3E56">
              <w:rPr>
                <w:rFonts w:asciiTheme="majorHAnsi" w:eastAsia="Times New Roman" w:hAnsiTheme="majorHAnsi"/>
                <w:color w:val="000000"/>
                <w:sz w:val="20"/>
                <w:szCs w:val="20"/>
              </w:rPr>
              <w:t xml:space="preserve"> request submissions for discussion at the next meeting?</w:t>
            </w:r>
          </w:p>
          <w:p w14:paraId="6A6572CB" w14:textId="7A7EBB53" w:rsidR="00267923" w:rsidRPr="00A95B8B" w:rsidRDefault="00267923" w:rsidP="00267923">
            <w:pPr>
              <w:pStyle w:val="CommentText"/>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A95B8B">
              <w:rPr>
                <w:rFonts w:asciiTheme="majorHAnsi" w:hAnsiTheme="majorHAnsi"/>
              </w:rPr>
              <w:t xml:space="preserve">The following methods or tools </w:t>
            </w:r>
            <w:r w:rsidR="005C3E56">
              <w:rPr>
                <w:rFonts w:asciiTheme="majorHAnsi" w:hAnsiTheme="majorHAnsi"/>
              </w:rPr>
              <w:t>have been previously highlighted for consideration</w:t>
            </w:r>
            <w:r w:rsidRPr="00A95B8B">
              <w:rPr>
                <w:rFonts w:asciiTheme="majorHAnsi" w:hAnsiTheme="majorHAnsi"/>
              </w:rPr>
              <w:t>:</w:t>
            </w:r>
          </w:p>
          <w:p w14:paraId="50F1B893" w14:textId="77777777" w:rsidR="00267923" w:rsidRPr="005C3E56" w:rsidRDefault="00267923" w:rsidP="005C3E56">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5C3E56">
              <w:rPr>
                <w:rFonts w:asciiTheme="majorHAnsi" w:hAnsiTheme="majorHAnsi"/>
                <w:sz w:val="20"/>
                <w:szCs w:val="20"/>
              </w:rPr>
              <w:t>Risk of Bias due to Missing Evidence (</w:t>
            </w:r>
            <w:proofErr w:type="spellStart"/>
            <w:r w:rsidRPr="005C3E56">
              <w:rPr>
                <w:rFonts w:asciiTheme="majorHAnsi" w:hAnsiTheme="majorHAnsi"/>
                <w:sz w:val="20"/>
                <w:szCs w:val="20"/>
              </w:rPr>
              <w:t>RoBME</w:t>
            </w:r>
            <w:proofErr w:type="spellEnd"/>
            <w:r w:rsidRPr="005C3E56">
              <w:rPr>
                <w:rFonts w:asciiTheme="majorHAnsi" w:hAnsiTheme="majorHAnsi"/>
                <w:sz w:val="20"/>
                <w:szCs w:val="20"/>
              </w:rPr>
              <w:t>)</w:t>
            </w:r>
          </w:p>
          <w:p w14:paraId="6442CFA5" w14:textId="77777777" w:rsidR="00267923" w:rsidRPr="005C3E56" w:rsidRDefault="00267923" w:rsidP="005C3E56">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5C3E56">
              <w:rPr>
                <w:rFonts w:asciiTheme="majorHAnsi" w:hAnsiTheme="majorHAnsi"/>
                <w:sz w:val="20"/>
                <w:szCs w:val="20"/>
              </w:rPr>
              <w:t xml:space="preserve">Tool for Addressing Conflict of Interests in Trials (TACIT) </w:t>
            </w:r>
          </w:p>
          <w:p w14:paraId="7224CA86" w14:textId="77777777" w:rsidR="00267923" w:rsidRPr="005C3E56" w:rsidRDefault="00267923" w:rsidP="005C3E56">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5C3E56">
              <w:rPr>
                <w:rFonts w:asciiTheme="majorHAnsi" w:hAnsiTheme="majorHAnsi"/>
                <w:sz w:val="20"/>
                <w:szCs w:val="20"/>
              </w:rPr>
              <w:t>(Semi) automation methods</w:t>
            </w:r>
          </w:p>
          <w:p w14:paraId="5C6EF670" w14:textId="77777777" w:rsidR="00267923" w:rsidRPr="005C3E56" w:rsidRDefault="00267923" w:rsidP="005C3E56">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5C3E56">
              <w:rPr>
                <w:rFonts w:asciiTheme="majorHAnsi" w:hAnsiTheme="majorHAnsi"/>
                <w:sz w:val="20"/>
                <w:szCs w:val="20"/>
              </w:rPr>
              <w:t>Standalone qualitative evidence synthesis (following PHHSN two-year pilot)</w:t>
            </w:r>
          </w:p>
          <w:p w14:paraId="2D8035D9" w14:textId="778AAFEE" w:rsidR="005C3E56" w:rsidRPr="005C3E56" w:rsidRDefault="005C3E56" w:rsidP="005C3E56">
            <w:pPr>
              <w:pStyle w:val="ListParagraph"/>
              <w:numPr>
                <w:ilvl w:val="0"/>
                <w:numId w:val="10"/>
              </w:num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5C3E56">
              <w:rPr>
                <w:rFonts w:asciiTheme="majorHAnsi" w:eastAsia="Times New Roman" w:hAnsiTheme="majorHAnsi"/>
                <w:color w:val="000000"/>
                <w:sz w:val="20"/>
                <w:szCs w:val="20"/>
              </w:rPr>
              <w:t>Meta-analyses of prevalence and risk, and consider resubmitting (via DG)</w:t>
            </w:r>
          </w:p>
          <w:p w14:paraId="64BF206D" w14:textId="1DF4DF41" w:rsidR="00267923" w:rsidRPr="005C3E56" w:rsidRDefault="00267923" w:rsidP="005C3E56">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5C3E56">
              <w:rPr>
                <w:rFonts w:asciiTheme="majorHAnsi" w:hAnsiTheme="majorHAnsi"/>
                <w:sz w:val="20"/>
                <w:szCs w:val="20"/>
              </w:rPr>
              <w:t>Use of IPD in repositories and other types of data</w:t>
            </w:r>
          </w:p>
          <w:p w14:paraId="7A1677A8" w14:textId="217A6581" w:rsidR="0064750D" w:rsidRPr="005C3E56" w:rsidRDefault="0064750D" w:rsidP="005C3E56">
            <w:pPr>
              <w:pStyle w:val="ListParagraph"/>
              <w:numPr>
                <w:ilvl w:val="0"/>
                <w:numId w:val="10"/>
              </w:num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5C3E56">
              <w:rPr>
                <w:rFonts w:asciiTheme="majorHAnsi" w:eastAsia="Times New Roman" w:hAnsiTheme="majorHAnsi"/>
                <w:sz w:val="20"/>
                <w:szCs w:val="20"/>
              </w:rPr>
              <w:t>Intervention Complexity Assessment tool</w:t>
            </w:r>
          </w:p>
          <w:p w14:paraId="6BFADA59" w14:textId="77777777" w:rsidR="0064750D" w:rsidRPr="005C3E56" w:rsidRDefault="0064750D" w:rsidP="005C3E56">
            <w:pPr>
              <w:pStyle w:val="ListParagraph"/>
              <w:numPr>
                <w:ilvl w:val="0"/>
                <w:numId w:val="10"/>
              </w:num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5C3E56">
              <w:rPr>
                <w:rFonts w:asciiTheme="majorHAnsi" w:eastAsia="Times New Roman" w:hAnsiTheme="majorHAnsi"/>
                <w:sz w:val="20"/>
                <w:szCs w:val="20"/>
              </w:rPr>
              <w:t xml:space="preserve">Methods for addressing missing participant data. </w:t>
            </w:r>
          </w:p>
          <w:p w14:paraId="11977B33" w14:textId="03ACF256" w:rsidR="0064750D" w:rsidRPr="005C3E56" w:rsidRDefault="0064750D" w:rsidP="005C3E56">
            <w:pPr>
              <w:pStyle w:val="ListParagraph"/>
              <w:numPr>
                <w:ilvl w:val="0"/>
                <w:numId w:val="10"/>
              </w:num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5C3E56">
              <w:rPr>
                <w:rFonts w:asciiTheme="majorHAnsi" w:eastAsia="Times New Roman" w:hAnsiTheme="majorHAnsi"/>
                <w:sz w:val="20"/>
                <w:szCs w:val="20"/>
              </w:rPr>
              <w:t>Assessing the quality of evidence and presenting the results of Non-randomised Studies in C</w:t>
            </w:r>
            <w:r w:rsidR="005C3E56" w:rsidRPr="005C3E56">
              <w:rPr>
                <w:rFonts w:asciiTheme="majorHAnsi" w:eastAsia="Times New Roman" w:hAnsiTheme="majorHAnsi"/>
                <w:sz w:val="20"/>
                <w:szCs w:val="20"/>
              </w:rPr>
              <w:t>ochrane Reviews.</w:t>
            </w:r>
          </w:p>
          <w:p w14:paraId="7B5E1888" w14:textId="77777777" w:rsidR="0064750D" w:rsidRPr="005C3E56" w:rsidRDefault="0064750D" w:rsidP="005C3E56">
            <w:pPr>
              <w:pStyle w:val="ListParagraph"/>
              <w:numPr>
                <w:ilvl w:val="0"/>
                <w:numId w:val="10"/>
              </w:num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5C3E56">
              <w:rPr>
                <w:rFonts w:asciiTheme="majorHAnsi" w:eastAsia="Times New Roman" w:hAnsiTheme="majorHAnsi"/>
                <w:sz w:val="20"/>
                <w:szCs w:val="20"/>
              </w:rPr>
              <w:t xml:space="preserve">Evaluation and validation of the RCT classifier. </w:t>
            </w:r>
          </w:p>
          <w:p w14:paraId="348E49DC" w14:textId="516F97A8" w:rsidR="0064750D" w:rsidRPr="005C3E56" w:rsidRDefault="0064750D" w:rsidP="005C3E56">
            <w:pPr>
              <w:pStyle w:val="ListParagraph"/>
              <w:numPr>
                <w:ilvl w:val="0"/>
                <w:numId w:val="10"/>
              </w:num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5C3E56">
              <w:rPr>
                <w:rFonts w:asciiTheme="majorHAnsi" w:hAnsiTheme="majorHAnsi"/>
                <w:sz w:val="20"/>
                <w:szCs w:val="20"/>
              </w:rPr>
              <w:t>Prognosis methods.</w:t>
            </w:r>
          </w:p>
          <w:p w14:paraId="5625901C" w14:textId="77777777" w:rsidR="0064750D" w:rsidRPr="005C3E56" w:rsidRDefault="0064750D" w:rsidP="005C3E56">
            <w:pPr>
              <w:ind w:left="360"/>
              <w:cnfStyle w:val="000000100000" w:firstRow="0" w:lastRow="0" w:firstColumn="0" w:lastColumn="0" w:oddVBand="0" w:evenVBand="0" w:oddHBand="1" w:evenHBand="0" w:firstRowFirstColumn="0" w:firstRowLastColumn="0" w:lastRowFirstColumn="0" w:lastRowLastColumn="0"/>
              <w:rPr>
                <w:rFonts w:ascii="Source Sans Pro" w:hAnsi="Source Sans Pro"/>
                <w:sz w:val="20"/>
                <w:szCs w:val="20"/>
              </w:rPr>
            </w:pPr>
          </w:p>
          <w:p w14:paraId="0CBCA10D" w14:textId="32E64AF8" w:rsidR="00267923" w:rsidRDefault="004B3927" w:rsidP="001D536E">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olor w:val="000000"/>
                <w:sz w:val="20"/>
                <w:szCs w:val="20"/>
              </w:rPr>
            </w:pPr>
            <w:r w:rsidRPr="004B3927">
              <w:rPr>
                <w:rFonts w:asciiTheme="majorHAnsi" w:eastAsia="Times New Roman" w:hAnsiTheme="majorHAnsi"/>
                <w:b/>
                <w:color w:val="000000"/>
                <w:sz w:val="20"/>
                <w:szCs w:val="20"/>
              </w:rPr>
              <w:t>Appendix 3</w:t>
            </w:r>
            <w:r>
              <w:rPr>
                <w:rFonts w:asciiTheme="majorHAnsi" w:eastAsia="Times New Roman" w:hAnsiTheme="majorHAnsi"/>
                <w:color w:val="000000"/>
                <w:sz w:val="20"/>
                <w:szCs w:val="20"/>
              </w:rPr>
              <w:t xml:space="preserve"> includes the Scientific Committee history for methods and tools.</w:t>
            </w:r>
          </w:p>
          <w:p w14:paraId="47D6D18D" w14:textId="575C02B2" w:rsidR="00FE1DC1" w:rsidRPr="00F206BB" w:rsidRDefault="00F206BB" w:rsidP="001D536E">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i/>
                <w:color w:val="000000"/>
                <w:sz w:val="20"/>
                <w:szCs w:val="20"/>
              </w:rPr>
            </w:pPr>
            <w:r w:rsidRPr="00F206BB">
              <w:rPr>
                <w:rFonts w:asciiTheme="majorHAnsi" w:eastAsia="Times New Roman" w:hAnsiTheme="majorHAnsi"/>
                <w:i/>
                <w:color w:val="000000"/>
                <w:sz w:val="20"/>
                <w:szCs w:val="20"/>
              </w:rPr>
              <w:t>A</w:t>
            </w:r>
            <w:r w:rsidR="00FE1DC1" w:rsidRPr="00F206BB">
              <w:rPr>
                <w:rFonts w:asciiTheme="majorHAnsi" w:eastAsia="Times New Roman" w:hAnsiTheme="majorHAnsi"/>
                <w:i/>
                <w:color w:val="000000"/>
                <w:sz w:val="20"/>
                <w:szCs w:val="20"/>
              </w:rPr>
              <w:t xml:space="preserve">ny unanswered methodological review questions </w:t>
            </w:r>
            <w:r w:rsidRPr="00F206BB">
              <w:rPr>
                <w:rFonts w:asciiTheme="majorHAnsi" w:eastAsia="Times New Roman" w:hAnsiTheme="majorHAnsi"/>
                <w:i/>
                <w:color w:val="000000"/>
                <w:sz w:val="20"/>
                <w:szCs w:val="20"/>
              </w:rPr>
              <w:t>can be</w:t>
            </w:r>
            <w:r w:rsidR="00FE1DC1" w:rsidRPr="00F206BB">
              <w:rPr>
                <w:rFonts w:asciiTheme="majorHAnsi" w:eastAsia="Times New Roman" w:hAnsiTheme="majorHAnsi"/>
                <w:i/>
                <w:color w:val="000000"/>
                <w:sz w:val="20"/>
                <w:szCs w:val="20"/>
              </w:rPr>
              <w:t xml:space="preserve"> flagged to Mike Clarke and the Methodology Review Group to consider it for a future review</w:t>
            </w:r>
            <w:r w:rsidRPr="00F206BB">
              <w:rPr>
                <w:rFonts w:asciiTheme="majorHAnsi" w:eastAsia="Times New Roman" w:hAnsiTheme="majorHAnsi"/>
                <w:i/>
                <w:color w:val="000000"/>
                <w:sz w:val="20"/>
                <w:szCs w:val="20"/>
              </w:rPr>
              <w:t>.</w:t>
            </w:r>
          </w:p>
          <w:p w14:paraId="2CC04BE5" w14:textId="6591281C" w:rsidR="004B3927" w:rsidRPr="00267923" w:rsidRDefault="004B3927" w:rsidP="001D536E">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olor w:val="000000"/>
                <w:sz w:val="20"/>
                <w:szCs w:val="20"/>
              </w:rPr>
            </w:pPr>
          </w:p>
        </w:tc>
      </w:tr>
      <w:tr w:rsidR="00267923" w14:paraId="4C2EFB56" w14:textId="77777777" w:rsidTr="004B4510">
        <w:trPr>
          <w:gridAfter w:val="1"/>
          <w:wAfter w:w="142" w:type="dxa"/>
        </w:trPr>
        <w:tc>
          <w:tcPr>
            <w:cnfStyle w:val="001000000000" w:firstRow="0" w:lastRow="0" w:firstColumn="1" w:lastColumn="0" w:oddVBand="0" w:evenVBand="0" w:oddHBand="0" w:evenHBand="0" w:firstRowFirstColumn="0" w:firstRowLastColumn="0" w:lastRowFirstColumn="0" w:lastRowLastColumn="0"/>
            <w:tcW w:w="3009" w:type="dxa"/>
          </w:tcPr>
          <w:p w14:paraId="5538C454" w14:textId="15EEBE8A" w:rsidR="00267923" w:rsidRDefault="00267923" w:rsidP="001D536E">
            <w:pPr>
              <w:pStyle w:val="ListParagraph"/>
              <w:numPr>
                <w:ilvl w:val="0"/>
                <w:numId w:val="2"/>
              </w:numPr>
              <w:rPr>
                <w:rFonts w:asciiTheme="majorHAnsi" w:eastAsia="Times New Roman" w:hAnsiTheme="majorHAnsi"/>
                <w:color w:val="000000"/>
              </w:rPr>
            </w:pPr>
            <w:r>
              <w:rPr>
                <w:rFonts w:asciiTheme="majorHAnsi" w:eastAsia="Times New Roman" w:hAnsiTheme="majorHAnsi"/>
                <w:color w:val="000000"/>
              </w:rPr>
              <w:t>Meeting schedule</w:t>
            </w:r>
          </w:p>
        </w:tc>
        <w:tc>
          <w:tcPr>
            <w:tcW w:w="11450" w:type="dxa"/>
          </w:tcPr>
          <w:p w14:paraId="6D02DBC4" w14:textId="40AE4C62" w:rsidR="00267923" w:rsidRDefault="00267923" w:rsidP="001D536E">
            <w:pPr>
              <w:pStyle w:val="xmsonormal"/>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olor w:val="000000"/>
                <w:sz w:val="20"/>
                <w:szCs w:val="20"/>
                <w:u w:val="single"/>
              </w:rPr>
            </w:pPr>
            <w:r w:rsidRPr="00267923">
              <w:rPr>
                <w:rFonts w:asciiTheme="majorHAnsi" w:eastAsia="Times New Roman" w:hAnsiTheme="majorHAnsi"/>
                <w:color w:val="000000"/>
                <w:sz w:val="20"/>
                <w:szCs w:val="20"/>
                <w:u w:val="single"/>
              </w:rPr>
              <w:t>List of upcoming meetings:</w:t>
            </w:r>
          </w:p>
          <w:p w14:paraId="0D678889" w14:textId="7BDC9F20" w:rsidR="005C3E56" w:rsidRDefault="005C3E56" w:rsidP="001D536E">
            <w:pPr>
              <w:pStyle w:val="xmsonormal"/>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olor w:val="000000"/>
                <w:sz w:val="20"/>
                <w:szCs w:val="20"/>
              </w:rPr>
            </w:pPr>
            <w:r>
              <w:rPr>
                <w:rFonts w:asciiTheme="majorHAnsi" w:eastAsia="Times New Roman" w:hAnsiTheme="majorHAnsi"/>
                <w:color w:val="000000"/>
                <w:sz w:val="20"/>
                <w:szCs w:val="20"/>
              </w:rPr>
              <w:t xml:space="preserve">Teleconference - </w:t>
            </w:r>
            <w:r w:rsidRPr="005C3E56">
              <w:rPr>
                <w:rFonts w:asciiTheme="majorHAnsi" w:eastAsia="Times New Roman" w:hAnsiTheme="majorHAnsi"/>
                <w:color w:val="000000"/>
                <w:sz w:val="20"/>
                <w:szCs w:val="20"/>
              </w:rPr>
              <w:t>Monday 30 September</w:t>
            </w:r>
            <w:r>
              <w:rPr>
                <w:rFonts w:asciiTheme="majorHAnsi" w:eastAsia="Times New Roman" w:hAnsiTheme="majorHAnsi"/>
                <w:color w:val="000000"/>
                <w:sz w:val="20"/>
                <w:szCs w:val="20"/>
              </w:rPr>
              <w:t>,</w:t>
            </w:r>
            <w:r w:rsidRPr="005C3E56">
              <w:rPr>
                <w:rFonts w:asciiTheme="majorHAnsi" w:eastAsia="Times New Roman" w:hAnsiTheme="majorHAnsi"/>
                <w:color w:val="000000"/>
                <w:sz w:val="20"/>
                <w:szCs w:val="20"/>
              </w:rPr>
              <w:t xml:space="preserve"> 12.00pm BST/13.00pm CEST/07.00am EDT/21.00pm AEST</w:t>
            </w:r>
            <w:r w:rsidR="00356C5D">
              <w:rPr>
                <w:rFonts w:asciiTheme="majorHAnsi" w:eastAsia="Times New Roman" w:hAnsiTheme="majorHAnsi"/>
                <w:color w:val="000000"/>
                <w:sz w:val="20"/>
                <w:szCs w:val="20"/>
              </w:rPr>
              <w:t xml:space="preserve"> (one hour 30 minutes)</w:t>
            </w:r>
          </w:p>
          <w:p w14:paraId="79B52DC1" w14:textId="50243C30" w:rsidR="001C5899" w:rsidRDefault="001C5899" w:rsidP="001D536E">
            <w:pPr>
              <w:pStyle w:val="xmsonormal"/>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olor w:val="000000"/>
                <w:sz w:val="20"/>
                <w:szCs w:val="20"/>
              </w:rPr>
            </w:pPr>
            <w:r w:rsidRPr="001C5899">
              <w:rPr>
                <w:rFonts w:asciiTheme="majorHAnsi" w:eastAsia="Times New Roman" w:hAnsiTheme="majorHAnsi"/>
                <w:color w:val="000000"/>
                <w:sz w:val="20"/>
                <w:szCs w:val="20"/>
              </w:rPr>
              <w:t xml:space="preserve">Cochrane Colloquium 2019 </w:t>
            </w:r>
            <w:r w:rsidR="005C3E56">
              <w:rPr>
                <w:rFonts w:asciiTheme="majorHAnsi" w:eastAsia="Times New Roman" w:hAnsiTheme="majorHAnsi"/>
                <w:color w:val="000000"/>
                <w:sz w:val="20"/>
                <w:szCs w:val="20"/>
              </w:rPr>
              <w:t>–</w:t>
            </w:r>
            <w:r w:rsidRPr="001C5899">
              <w:rPr>
                <w:rFonts w:asciiTheme="majorHAnsi" w:eastAsia="Times New Roman" w:hAnsiTheme="majorHAnsi"/>
                <w:color w:val="000000"/>
                <w:sz w:val="20"/>
                <w:szCs w:val="20"/>
              </w:rPr>
              <w:t xml:space="preserve"> </w:t>
            </w:r>
            <w:r w:rsidR="00356C5D">
              <w:rPr>
                <w:rFonts w:asciiTheme="majorHAnsi" w:eastAsia="Times New Roman" w:hAnsiTheme="majorHAnsi"/>
                <w:color w:val="000000"/>
                <w:sz w:val="20"/>
                <w:szCs w:val="20"/>
              </w:rPr>
              <w:t>October t</w:t>
            </w:r>
            <w:r w:rsidR="005D10BF">
              <w:rPr>
                <w:rFonts w:asciiTheme="majorHAnsi" w:eastAsia="Times New Roman" w:hAnsiTheme="majorHAnsi"/>
                <w:color w:val="000000"/>
                <w:sz w:val="20"/>
                <w:szCs w:val="20"/>
              </w:rPr>
              <w:t>o be confirmed.</w:t>
            </w:r>
          </w:p>
          <w:p w14:paraId="4DADAC0B" w14:textId="14FF9379" w:rsidR="005C3E56" w:rsidRDefault="005C3E56" w:rsidP="001D536E">
            <w:pPr>
              <w:pStyle w:val="xmsonormal"/>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olor w:val="000000"/>
                <w:sz w:val="20"/>
                <w:szCs w:val="20"/>
              </w:rPr>
            </w:pPr>
            <w:r>
              <w:rPr>
                <w:rFonts w:asciiTheme="majorHAnsi" w:eastAsia="Times New Roman" w:hAnsiTheme="majorHAnsi"/>
                <w:color w:val="000000"/>
                <w:sz w:val="20"/>
                <w:szCs w:val="20"/>
              </w:rPr>
              <w:t>Teleconference</w:t>
            </w:r>
            <w:r w:rsidR="00356C5D">
              <w:rPr>
                <w:rFonts w:asciiTheme="majorHAnsi" w:eastAsia="Times New Roman" w:hAnsiTheme="majorHAnsi"/>
                <w:color w:val="000000"/>
                <w:sz w:val="20"/>
                <w:szCs w:val="20"/>
              </w:rPr>
              <w:t xml:space="preserve"> – January to be confirmed.</w:t>
            </w:r>
          </w:p>
          <w:p w14:paraId="34501BD3" w14:textId="47CC3587" w:rsidR="005C3E56" w:rsidRPr="001C5899" w:rsidRDefault="00356C5D" w:rsidP="001D536E">
            <w:pPr>
              <w:pStyle w:val="xmsonormal"/>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olor w:val="000000"/>
                <w:sz w:val="20"/>
                <w:szCs w:val="20"/>
              </w:rPr>
            </w:pPr>
            <w:r>
              <w:rPr>
                <w:rFonts w:asciiTheme="majorHAnsi" w:eastAsia="Times New Roman" w:hAnsiTheme="majorHAnsi"/>
                <w:color w:val="000000"/>
                <w:sz w:val="20"/>
                <w:szCs w:val="20"/>
              </w:rPr>
              <w:t>Cochrane mid-year Governance Meetings 2020 – March/April to be confirmed.</w:t>
            </w:r>
          </w:p>
          <w:p w14:paraId="7DD0BEA7" w14:textId="21B5E903" w:rsidR="00267923" w:rsidRPr="00267923" w:rsidRDefault="00267923" w:rsidP="001D536E">
            <w:pPr>
              <w:pStyle w:val="xmsonormal"/>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olor w:val="000000"/>
                <w:sz w:val="20"/>
                <w:szCs w:val="20"/>
              </w:rPr>
            </w:pPr>
          </w:p>
        </w:tc>
      </w:tr>
      <w:tr w:rsidR="00267923" w14:paraId="5D36ACD5" w14:textId="77777777" w:rsidTr="004B4510">
        <w:trPr>
          <w:gridAfter w:val="1"/>
          <w:cnfStyle w:val="000000100000" w:firstRow="0" w:lastRow="0" w:firstColumn="0" w:lastColumn="0" w:oddVBand="0" w:evenVBand="0" w:oddHBand="1" w:evenHBand="0" w:firstRowFirstColumn="0" w:firstRowLastColumn="0" w:lastRowFirstColumn="0" w:lastRowLastColumn="0"/>
          <w:wAfter w:w="142" w:type="dxa"/>
        </w:trPr>
        <w:tc>
          <w:tcPr>
            <w:cnfStyle w:val="001000000000" w:firstRow="0" w:lastRow="0" w:firstColumn="1" w:lastColumn="0" w:oddVBand="0" w:evenVBand="0" w:oddHBand="0" w:evenHBand="0" w:firstRowFirstColumn="0" w:firstRowLastColumn="0" w:lastRowFirstColumn="0" w:lastRowLastColumn="0"/>
            <w:tcW w:w="3009" w:type="dxa"/>
          </w:tcPr>
          <w:p w14:paraId="7FD5BFAA" w14:textId="41094CFA" w:rsidR="00267923" w:rsidRDefault="00267923" w:rsidP="001D536E">
            <w:pPr>
              <w:pStyle w:val="ListParagraph"/>
              <w:numPr>
                <w:ilvl w:val="0"/>
                <w:numId w:val="2"/>
              </w:numPr>
              <w:rPr>
                <w:rFonts w:asciiTheme="majorHAnsi" w:eastAsia="Times New Roman" w:hAnsiTheme="majorHAnsi"/>
                <w:color w:val="000000"/>
              </w:rPr>
            </w:pPr>
            <w:r>
              <w:rPr>
                <w:rFonts w:asciiTheme="majorHAnsi" w:eastAsia="Times New Roman" w:hAnsiTheme="majorHAnsi"/>
                <w:color w:val="000000"/>
              </w:rPr>
              <w:t>Any other business</w:t>
            </w:r>
          </w:p>
        </w:tc>
        <w:tc>
          <w:tcPr>
            <w:tcW w:w="11450" w:type="dxa"/>
          </w:tcPr>
          <w:p w14:paraId="4626E547" w14:textId="581E20D8" w:rsidR="00267923" w:rsidRPr="00267923" w:rsidRDefault="00267923" w:rsidP="001D536E">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olor w:val="000000"/>
                <w:sz w:val="20"/>
                <w:szCs w:val="20"/>
              </w:rPr>
            </w:pPr>
          </w:p>
        </w:tc>
      </w:tr>
    </w:tbl>
    <w:p w14:paraId="078B9407" w14:textId="1D997069" w:rsidR="006F59CF" w:rsidRDefault="006F59CF">
      <w:pPr>
        <w:spacing w:after="200" w:line="276" w:lineRule="auto"/>
        <w:rPr>
          <w:rFonts w:asciiTheme="majorHAnsi" w:hAnsiTheme="majorHAnsi"/>
          <w:color w:val="007CB7" w:themeColor="background2"/>
          <w:spacing w:val="-6"/>
          <w:sz w:val="60"/>
          <w:szCs w:val="60"/>
        </w:rPr>
      </w:pPr>
    </w:p>
    <w:p w14:paraId="4AFC8B11" w14:textId="294910C7" w:rsidR="00D50DEF" w:rsidRDefault="00D50DEF" w:rsidP="004708C7">
      <w:pPr>
        <w:pStyle w:val="Heading1"/>
      </w:pPr>
      <w:r>
        <w:t>APPENDIX 1 - Scientific Committee members tenure</w:t>
      </w:r>
    </w:p>
    <w:p w14:paraId="3868A933" w14:textId="25532B6E" w:rsidR="00D50DEF" w:rsidRPr="00D50DEF" w:rsidRDefault="00D50DEF" w:rsidP="00D50DEF">
      <w:pPr>
        <w:pStyle w:val="NoSpacing"/>
        <w:rPr>
          <w:rFonts w:asciiTheme="majorHAnsi" w:hAnsiTheme="majorHAnsi"/>
        </w:rPr>
      </w:pPr>
      <w:r w:rsidRPr="00D50DEF">
        <w:rPr>
          <w:rFonts w:asciiTheme="majorHAnsi" w:hAnsiTheme="majorHAnsi"/>
        </w:rPr>
        <w:t xml:space="preserve">Relevant notes from the </w:t>
      </w:r>
      <w:r>
        <w:rPr>
          <w:rFonts w:asciiTheme="majorHAnsi" w:hAnsiTheme="majorHAnsi"/>
        </w:rPr>
        <w:t xml:space="preserve">Cochrane </w:t>
      </w:r>
      <w:r w:rsidRPr="00D50DEF">
        <w:rPr>
          <w:rFonts w:asciiTheme="majorHAnsi" w:hAnsiTheme="majorHAnsi"/>
        </w:rPr>
        <w:t>Scientific Committee</w:t>
      </w:r>
      <w:r>
        <w:rPr>
          <w:rFonts w:asciiTheme="majorHAnsi" w:hAnsiTheme="majorHAnsi"/>
        </w:rPr>
        <w:t xml:space="preserve"> (CSC)</w:t>
      </w:r>
      <w:r w:rsidRPr="00D50DEF">
        <w:rPr>
          <w:rFonts w:asciiTheme="majorHAnsi" w:hAnsiTheme="majorHAnsi"/>
        </w:rPr>
        <w:t xml:space="preserve"> Terms of Reference </w:t>
      </w:r>
      <w:r w:rsidR="00356C5D">
        <w:rPr>
          <w:rFonts w:asciiTheme="majorHAnsi" w:hAnsiTheme="majorHAnsi"/>
        </w:rPr>
        <w:t xml:space="preserve">on member tenure </w:t>
      </w:r>
      <w:r w:rsidRPr="00D50DEF">
        <w:rPr>
          <w:rFonts w:asciiTheme="majorHAnsi" w:hAnsiTheme="majorHAnsi"/>
        </w:rPr>
        <w:t xml:space="preserve">(full document </w:t>
      </w:r>
      <w:hyperlink r:id="rId11" w:history="1">
        <w:r w:rsidRPr="00D50DEF">
          <w:rPr>
            <w:rStyle w:val="Hyperlink"/>
            <w:rFonts w:asciiTheme="majorHAnsi" w:hAnsiTheme="majorHAnsi"/>
          </w:rPr>
          <w:t>here</w:t>
        </w:r>
      </w:hyperlink>
      <w:r w:rsidRPr="00D50DEF">
        <w:rPr>
          <w:rFonts w:asciiTheme="majorHAnsi" w:hAnsiTheme="majorHAnsi"/>
        </w:rPr>
        <w:t>):</w:t>
      </w:r>
    </w:p>
    <w:p w14:paraId="368C0424" w14:textId="77777777" w:rsidR="00D50DEF" w:rsidRDefault="00D50DEF" w:rsidP="00D50DEF">
      <w:pPr>
        <w:pStyle w:val="NoSpacing"/>
      </w:pPr>
    </w:p>
    <w:p w14:paraId="08B0FD6C" w14:textId="634F188F" w:rsidR="00D50DEF" w:rsidRPr="006558C9" w:rsidRDefault="00D50DEF" w:rsidP="00D50DEF">
      <w:pPr>
        <w:pStyle w:val="NoSpacing"/>
        <w:numPr>
          <w:ilvl w:val="0"/>
          <w:numId w:val="34"/>
        </w:numPr>
        <w:rPr>
          <w:rFonts w:asciiTheme="majorHAnsi" w:hAnsiTheme="majorHAnsi"/>
        </w:rPr>
      </w:pPr>
      <w:r w:rsidRPr="006558C9">
        <w:rPr>
          <w:rFonts w:asciiTheme="majorHAnsi" w:hAnsiTheme="majorHAnsi"/>
        </w:rPr>
        <w:t xml:space="preserve">CSC consists of </w:t>
      </w:r>
      <w:r w:rsidR="006558C9" w:rsidRPr="006558C9">
        <w:rPr>
          <w:rFonts w:asciiTheme="majorHAnsi" w:hAnsiTheme="majorHAnsi"/>
        </w:rPr>
        <w:t xml:space="preserve">up-to </w:t>
      </w:r>
      <w:r w:rsidRPr="006558C9">
        <w:rPr>
          <w:rFonts w:asciiTheme="majorHAnsi" w:hAnsiTheme="majorHAnsi"/>
        </w:rPr>
        <w:t>15 members:</w:t>
      </w:r>
    </w:p>
    <w:p w14:paraId="5CEB2C50" w14:textId="2F37EFC3" w:rsidR="00D50DEF" w:rsidRPr="006558C9" w:rsidRDefault="00D50DEF" w:rsidP="006558C9">
      <w:pPr>
        <w:pStyle w:val="NoSpacing"/>
        <w:numPr>
          <w:ilvl w:val="0"/>
          <w:numId w:val="34"/>
        </w:numPr>
        <w:rPr>
          <w:rFonts w:asciiTheme="majorHAnsi" w:hAnsiTheme="majorHAnsi"/>
        </w:rPr>
      </w:pPr>
      <w:r w:rsidRPr="006558C9">
        <w:rPr>
          <w:rFonts w:asciiTheme="majorHAnsi" w:hAnsiTheme="majorHAnsi"/>
        </w:rPr>
        <w:t>Editor in Chief sits on the CSC as a non-voting member.</w:t>
      </w:r>
    </w:p>
    <w:p w14:paraId="7A17A5C3" w14:textId="77777777" w:rsidR="006558C9" w:rsidRPr="006558C9" w:rsidRDefault="00D50DEF" w:rsidP="006558C9">
      <w:pPr>
        <w:pStyle w:val="NoSpacing"/>
        <w:numPr>
          <w:ilvl w:val="0"/>
          <w:numId w:val="34"/>
        </w:numPr>
        <w:rPr>
          <w:rFonts w:asciiTheme="majorHAnsi" w:hAnsiTheme="majorHAnsi"/>
        </w:rPr>
      </w:pPr>
      <w:r w:rsidRPr="006558C9">
        <w:rPr>
          <w:rFonts w:asciiTheme="majorHAnsi" w:hAnsiTheme="majorHAnsi" w:cs="SourceSansPro-Regular"/>
        </w:rPr>
        <w:t xml:space="preserve">The Methods Implementation Coordinator will support the activities of the </w:t>
      </w:r>
      <w:proofErr w:type="gramStart"/>
      <w:r w:rsidRPr="006558C9">
        <w:rPr>
          <w:rFonts w:asciiTheme="majorHAnsi" w:hAnsiTheme="majorHAnsi" w:cs="SourceSansPro-Regular"/>
        </w:rPr>
        <w:t>CSC, and</w:t>
      </w:r>
      <w:proofErr w:type="gramEnd"/>
      <w:r w:rsidRPr="006558C9">
        <w:rPr>
          <w:rFonts w:asciiTheme="majorHAnsi" w:hAnsiTheme="majorHAnsi" w:cs="SourceSansPro-Regular"/>
        </w:rPr>
        <w:t xml:space="preserve"> is not a member and does not have</w:t>
      </w:r>
      <w:r w:rsidR="006558C9" w:rsidRPr="006558C9">
        <w:rPr>
          <w:rFonts w:asciiTheme="majorHAnsi" w:hAnsiTheme="majorHAnsi"/>
        </w:rPr>
        <w:t xml:space="preserve"> </w:t>
      </w:r>
      <w:r w:rsidRPr="006558C9">
        <w:rPr>
          <w:rFonts w:asciiTheme="majorHAnsi" w:hAnsiTheme="majorHAnsi" w:cs="SourceSansPro-Regular"/>
        </w:rPr>
        <w:t>voting rights.</w:t>
      </w:r>
    </w:p>
    <w:p w14:paraId="2495D386" w14:textId="77777777" w:rsidR="006558C9" w:rsidRPr="006558C9" w:rsidRDefault="00D50DEF" w:rsidP="006558C9">
      <w:pPr>
        <w:pStyle w:val="NoSpacing"/>
        <w:numPr>
          <w:ilvl w:val="0"/>
          <w:numId w:val="34"/>
        </w:numPr>
        <w:rPr>
          <w:rFonts w:asciiTheme="majorHAnsi" w:hAnsiTheme="majorHAnsi"/>
        </w:rPr>
      </w:pPr>
      <w:r w:rsidRPr="006558C9">
        <w:rPr>
          <w:rFonts w:asciiTheme="majorHAnsi" w:hAnsiTheme="majorHAnsi"/>
        </w:rPr>
        <w:t>CSC needs a quorum of 10 members (excluding the Editor in Chief) for decisions (</w:t>
      </w:r>
      <w:proofErr w:type="spellStart"/>
      <w:r w:rsidRPr="006558C9">
        <w:rPr>
          <w:rFonts w:asciiTheme="majorHAnsi" w:hAnsiTheme="majorHAnsi"/>
        </w:rPr>
        <w:t>inc.</w:t>
      </w:r>
      <w:proofErr w:type="spellEnd"/>
      <w:r w:rsidRPr="006558C9">
        <w:rPr>
          <w:rFonts w:asciiTheme="majorHAnsi" w:hAnsiTheme="majorHAnsi"/>
        </w:rPr>
        <w:t xml:space="preserve"> at least one co-Chair).</w:t>
      </w:r>
    </w:p>
    <w:p w14:paraId="6CB69170" w14:textId="77777777" w:rsidR="006558C9" w:rsidRPr="006558C9" w:rsidRDefault="006558C9" w:rsidP="006558C9">
      <w:pPr>
        <w:pStyle w:val="NoSpacing"/>
        <w:numPr>
          <w:ilvl w:val="0"/>
          <w:numId w:val="34"/>
        </w:numPr>
        <w:rPr>
          <w:rFonts w:asciiTheme="majorHAnsi" w:hAnsiTheme="majorHAnsi"/>
        </w:rPr>
      </w:pPr>
      <w:r w:rsidRPr="006558C9">
        <w:rPr>
          <w:rFonts w:asciiTheme="majorHAnsi" w:hAnsiTheme="majorHAnsi" w:cs="SourceSansPro-Regular"/>
        </w:rPr>
        <w:t xml:space="preserve">Selection will consider geographical location, gender and language diversity and any other considerations of equity. </w:t>
      </w:r>
    </w:p>
    <w:p w14:paraId="456BEC83" w14:textId="77777777" w:rsidR="006558C9" w:rsidRPr="006558C9" w:rsidRDefault="006558C9" w:rsidP="006558C9">
      <w:pPr>
        <w:pStyle w:val="NoSpacing"/>
        <w:numPr>
          <w:ilvl w:val="0"/>
          <w:numId w:val="34"/>
        </w:numPr>
        <w:rPr>
          <w:rFonts w:asciiTheme="majorHAnsi" w:hAnsiTheme="majorHAnsi"/>
        </w:rPr>
      </w:pPr>
      <w:r w:rsidRPr="006558C9">
        <w:rPr>
          <w:rFonts w:asciiTheme="majorHAnsi" w:hAnsiTheme="majorHAnsi" w:cs="SourceSansPro-Regular"/>
        </w:rPr>
        <w:t>The CSC will take responsibility for the selection of members following a process of open</w:t>
      </w:r>
      <w:r w:rsidRPr="006558C9">
        <w:rPr>
          <w:rFonts w:asciiTheme="majorHAnsi" w:hAnsiTheme="majorHAnsi"/>
        </w:rPr>
        <w:t xml:space="preserve"> </w:t>
      </w:r>
      <w:r w:rsidRPr="006558C9">
        <w:rPr>
          <w:rFonts w:asciiTheme="majorHAnsi" w:hAnsiTheme="majorHAnsi" w:cs="SourceSansPro-Regular"/>
        </w:rPr>
        <w:t>nomination for suitable candidates.</w:t>
      </w:r>
    </w:p>
    <w:p w14:paraId="58BAA8F6" w14:textId="77777777" w:rsidR="006558C9" w:rsidRPr="006558C9" w:rsidRDefault="006558C9" w:rsidP="006558C9">
      <w:pPr>
        <w:pStyle w:val="NoSpacing"/>
        <w:numPr>
          <w:ilvl w:val="0"/>
          <w:numId w:val="34"/>
        </w:numPr>
        <w:rPr>
          <w:rFonts w:asciiTheme="majorHAnsi" w:hAnsiTheme="majorHAnsi"/>
        </w:rPr>
      </w:pPr>
      <w:r w:rsidRPr="006558C9">
        <w:rPr>
          <w:rFonts w:asciiTheme="majorHAnsi" w:hAnsiTheme="majorHAnsi" w:cs="SourceSansPro-Regular"/>
        </w:rPr>
        <w:t>The CSC will select two Co-Chairs from amongst its membership.</w:t>
      </w:r>
    </w:p>
    <w:p w14:paraId="0950C411" w14:textId="77777777" w:rsidR="006558C9" w:rsidRPr="006558C9" w:rsidRDefault="006558C9" w:rsidP="006558C9">
      <w:pPr>
        <w:pStyle w:val="NoSpacing"/>
        <w:numPr>
          <w:ilvl w:val="0"/>
          <w:numId w:val="34"/>
        </w:numPr>
        <w:rPr>
          <w:rFonts w:asciiTheme="majorHAnsi" w:hAnsiTheme="majorHAnsi"/>
        </w:rPr>
      </w:pPr>
      <w:r w:rsidRPr="006558C9">
        <w:rPr>
          <w:rFonts w:asciiTheme="majorHAnsi" w:hAnsiTheme="majorHAnsi" w:cs="SourceSansPro-Regular"/>
        </w:rPr>
        <w:t xml:space="preserve">Terms of office are initially for three years, extended on request for a further two years at the Co- Chair’s discretion. </w:t>
      </w:r>
    </w:p>
    <w:p w14:paraId="3C45E420" w14:textId="77777777" w:rsidR="006558C9" w:rsidRPr="006558C9" w:rsidRDefault="006558C9" w:rsidP="006558C9">
      <w:pPr>
        <w:pStyle w:val="NoSpacing"/>
        <w:numPr>
          <w:ilvl w:val="0"/>
          <w:numId w:val="34"/>
        </w:numPr>
        <w:rPr>
          <w:rFonts w:asciiTheme="majorHAnsi" w:hAnsiTheme="majorHAnsi"/>
        </w:rPr>
      </w:pPr>
      <w:r w:rsidRPr="006558C9">
        <w:rPr>
          <w:rFonts w:asciiTheme="majorHAnsi" w:hAnsiTheme="majorHAnsi" w:cs="SourceSansPro-Regular"/>
        </w:rPr>
        <w:t>No member should serve for more than 5 years. Co-chairs should change every two years.</w:t>
      </w:r>
    </w:p>
    <w:p w14:paraId="63DB733C" w14:textId="4C8C4528" w:rsidR="006558C9" w:rsidRPr="006558C9" w:rsidRDefault="006558C9" w:rsidP="006558C9">
      <w:pPr>
        <w:pStyle w:val="NoSpacing"/>
        <w:numPr>
          <w:ilvl w:val="0"/>
          <w:numId w:val="34"/>
        </w:numPr>
        <w:rPr>
          <w:rFonts w:asciiTheme="majorHAnsi" w:hAnsiTheme="majorHAnsi"/>
        </w:rPr>
      </w:pPr>
      <w:r w:rsidRPr="006558C9">
        <w:rPr>
          <w:rFonts w:asciiTheme="majorHAnsi" w:hAnsiTheme="majorHAnsi" w:cs="SourceSansPro-Regular"/>
        </w:rPr>
        <w:t>Staggered membership at CSC inception will ensure continuity</w:t>
      </w:r>
      <w:r w:rsidRPr="006558C9">
        <w:rPr>
          <w:rFonts w:asciiTheme="majorHAnsi" w:hAnsiTheme="majorHAnsi"/>
        </w:rPr>
        <w:t xml:space="preserve"> </w:t>
      </w:r>
      <w:r w:rsidRPr="006558C9">
        <w:rPr>
          <w:rFonts w:asciiTheme="majorHAnsi" w:hAnsiTheme="majorHAnsi" w:cs="SourceSansPro-Regular"/>
        </w:rPr>
        <w:t>throughout the CSC life cycle.</w:t>
      </w:r>
    </w:p>
    <w:p w14:paraId="1E309797" w14:textId="59994BC8" w:rsidR="00D50DEF" w:rsidRPr="006558C9" w:rsidRDefault="00D50DEF" w:rsidP="00D50DEF">
      <w:pPr>
        <w:pStyle w:val="NoSpacing"/>
        <w:numPr>
          <w:ilvl w:val="0"/>
          <w:numId w:val="34"/>
        </w:numPr>
        <w:rPr>
          <w:rFonts w:asciiTheme="majorHAnsi" w:hAnsiTheme="majorHAnsi"/>
        </w:rPr>
      </w:pPr>
      <w:r w:rsidRPr="006558C9">
        <w:rPr>
          <w:rFonts w:asciiTheme="majorHAnsi" w:hAnsiTheme="majorHAnsi"/>
        </w:rPr>
        <w:t>Composition of the CSC membership:</w:t>
      </w:r>
    </w:p>
    <w:p w14:paraId="11FE13A0" w14:textId="77777777" w:rsidR="006558C9" w:rsidRPr="006558C9" w:rsidRDefault="00D50DEF" w:rsidP="006558C9">
      <w:pPr>
        <w:pStyle w:val="NoSpacing"/>
        <w:numPr>
          <w:ilvl w:val="1"/>
          <w:numId w:val="34"/>
        </w:numPr>
        <w:rPr>
          <w:rFonts w:asciiTheme="majorHAnsi" w:hAnsiTheme="majorHAnsi"/>
        </w:rPr>
      </w:pPr>
      <w:r w:rsidRPr="006558C9">
        <w:rPr>
          <w:rFonts w:asciiTheme="majorHAnsi" w:hAnsiTheme="majorHAnsi"/>
        </w:rPr>
        <w:t>Six to eight members from within the Cochrane community who either have a strong focus on methods research and development, or</w:t>
      </w:r>
      <w:r w:rsidR="006558C9" w:rsidRPr="006558C9">
        <w:rPr>
          <w:rFonts w:asciiTheme="majorHAnsi" w:hAnsiTheme="majorHAnsi"/>
        </w:rPr>
        <w:t xml:space="preserve"> </w:t>
      </w:r>
      <w:r w:rsidRPr="006558C9">
        <w:rPr>
          <w:rFonts w:asciiTheme="majorHAnsi" w:hAnsiTheme="majorHAnsi"/>
        </w:rPr>
        <w:t>editorial skills and healthcare experience with strong methods</w:t>
      </w:r>
      <w:r w:rsidR="006558C9" w:rsidRPr="006558C9">
        <w:rPr>
          <w:rFonts w:asciiTheme="majorHAnsi" w:hAnsiTheme="majorHAnsi"/>
        </w:rPr>
        <w:t xml:space="preserve"> </w:t>
      </w:r>
      <w:r w:rsidRPr="006558C9">
        <w:rPr>
          <w:rFonts w:asciiTheme="majorHAnsi" w:hAnsiTheme="majorHAnsi"/>
        </w:rPr>
        <w:t>interests. Evidence of a longstanding leading role in Cochrane is an</w:t>
      </w:r>
      <w:r w:rsidR="006558C9" w:rsidRPr="006558C9">
        <w:rPr>
          <w:rFonts w:asciiTheme="majorHAnsi" w:hAnsiTheme="majorHAnsi"/>
        </w:rPr>
        <w:t xml:space="preserve"> </w:t>
      </w:r>
      <w:r w:rsidRPr="006558C9">
        <w:rPr>
          <w:rFonts w:asciiTheme="majorHAnsi" w:hAnsiTheme="majorHAnsi"/>
        </w:rPr>
        <w:t>additional requirement. However, the selected member does not</w:t>
      </w:r>
      <w:r w:rsidR="006558C9" w:rsidRPr="006558C9">
        <w:rPr>
          <w:rFonts w:asciiTheme="majorHAnsi" w:hAnsiTheme="majorHAnsi"/>
        </w:rPr>
        <w:t xml:space="preserve"> </w:t>
      </w:r>
      <w:r w:rsidRPr="006558C9">
        <w:rPr>
          <w:rFonts w:asciiTheme="majorHAnsi" w:hAnsiTheme="majorHAnsi"/>
        </w:rPr>
        <w:t>represent any entity in Cochrane.</w:t>
      </w:r>
    </w:p>
    <w:p w14:paraId="097B9954" w14:textId="7129C393" w:rsidR="006558C9" w:rsidRPr="006558C9" w:rsidRDefault="006558C9" w:rsidP="006558C9">
      <w:pPr>
        <w:pStyle w:val="NoSpacing"/>
        <w:numPr>
          <w:ilvl w:val="1"/>
          <w:numId w:val="34"/>
        </w:numPr>
        <w:rPr>
          <w:rFonts w:asciiTheme="majorHAnsi" w:hAnsiTheme="majorHAnsi"/>
        </w:rPr>
      </w:pPr>
      <w:r w:rsidRPr="006558C9">
        <w:rPr>
          <w:rFonts w:asciiTheme="majorHAnsi" w:hAnsiTheme="majorHAnsi" w:cs="SourceSansPro-Regular"/>
        </w:rPr>
        <w:t>Four to six external members for independent balance. These people are senior experienced research leaders within their specialist field, who have a wide knowledge of systematic review methodology, or senior experienced systematic reviewers or editors with a known interest and experience in methodological development. At least two of the external members will also represent stakeholders and end users of reviews e.g. agencies using Cochrane Reviews in guidelines,</w:t>
      </w:r>
      <w:r w:rsidRPr="006558C9">
        <w:rPr>
          <w:rFonts w:asciiTheme="majorHAnsi" w:hAnsiTheme="majorHAnsi"/>
        </w:rPr>
        <w:t xml:space="preserve"> </w:t>
      </w:r>
      <w:r w:rsidRPr="006558C9">
        <w:rPr>
          <w:rFonts w:asciiTheme="majorHAnsi" w:hAnsiTheme="majorHAnsi" w:cs="SourceSansPro-Regular"/>
        </w:rPr>
        <w:t>health research funders and those representing consumer interests.</w:t>
      </w:r>
    </w:p>
    <w:p w14:paraId="6A40E4E5" w14:textId="51CD6383" w:rsidR="006558C9" w:rsidRPr="006558C9" w:rsidRDefault="006558C9" w:rsidP="006558C9">
      <w:pPr>
        <w:pStyle w:val="NoSpacing"/>
        <w:numPr>
          <w:ilvl w:val="1"/>
          <w:numId w:val="34"/>
        </w:numPr>
        <w:rPr>
          <w:rFonts w:asciiTheme="majorHAnsi" w:hAnsiTheme="majorHAnsi"/>
        </w:rPr>
      </w:pPr>
      <w:r w:rsidRPr="006558C9">
        <w:rPr>
          <w:rFonts w:asciiTheme="majorHAnsi" w:hAnsiTheme="majorHAnsi" w:cs="SourceSansPro-Regular"/>
        </w:rPr>
        <w:t>The Editor in Chief (or Deputy Editor in Chief).</w:t>
      </w:r>
    </w:p>
    <w:p w14:paraId="4F6F89E1" w14:textId="6C5305D0" w:rsidR="006558C9" w:rsidRPr="006558C9" w:rsidRDefault="006558C9" w:rsidP="006558C9">
      <w:pPr>
        <w:pStyle w:val="NoSpacing"/>
        <w:numPr>
          <w:ilvl w:val="1"/>
          <w:numId w:val="34"/>
        </w:numPr>
        <w:rPr>
          <w:rFonts w:asciiTheme="majorHAnsi" w:hAnsiTheme="majorHAnsi"/>
        </w:rPr>
      </w:pPr>
      <w:r w:rsidRPr="006558C9">
        <w:rPr>
          <w:rFonts w:asciiTheme="majorHAnsi" w:hAnsiTheme="majorHAnsi"/>
        </w:rPr>
        <w:t>An early career researcher who is also within 5 years of completing a PhD, developing a relevant methodological track record.</w:t>
      </w:r>
    </w:p>
    <w:p w14:paraId="704DFAD0" w14:textId="7A9BFFDC" w:rsidR="00D50DEF" w:rsidRDefault="00D50DEF" w:rsidP="00D50DEF">
      <w:pPr>
        <w:pStyle w:val="NoSpacing"/>
      </w:pPr>
    </w:p>
    <w:p w14:paraId="3E9C232E" w14:textId="77777777" w:rsidR="00D50DEF" w:rsidRDefault="00D50DEF" w:rsidP="00D50DEF">
      <w:pPr>
        <w:rPr>
          <w:color w:val="000000"/>
        </w:rPr>
      </w:pPr>
      <w:r>
        <w:rPr>
          <w:b/>
          <w:bCs/>
          <w:color w:val="000000"/>
        </w:rPr>
        <w:t>Who’s in which role?</w:t>
      </w:r>
    </w:p>
    <w:p w14:paraId="06FE6F2F" w14:textId="6518B5D4" w:rsidR="00D50DEF" w:rsidRPr="00356C5D" w:rsidRDefault="00D50DEF" w:rsidP="00D50DEF">
      <w:pPr>
        <w:rPr>
          <w:rFonts w:asciiTheme="majorHAnsi" w:hAnsiTheme="majorHAnsi"/>
          <w:color w:val="000000"/>
        </w:rPr>
      </w:pPr>
      <w:r w:rsidRPr="00356C5D">
        <w:rPr>
          <w:rFonts w:asciiTheme="majorHAnsi" w:hAnsiTheme="majorHAnsi"/>
          <w:color w:val="000000"/>
        </w:rPr>
        <w:t>Confirming who is in each role (</w:t>
      </w:r>
      <w:r w:rsidR="00C9026B" w:rsidRPr="00356C5D">
        <w:rPr>
          <w:rFonts w:asciiTheme="majorHAnsi" w:hAnsiTheme="majorHAnsi"/>
          <w:color w:val="000000"/>
        </w:rPr>
        <w:t xml:space="preserve">this information </w:t>
      </w:r>
      <w:r w:rsidR="00C7570E">
        <w:rPr>
          <w:rFonts w:asciiTheme="majorHAnsi" w:hAnsiTheme="majorHAnsi"/>
          <w:color w:val="000000"/>
        </w:rPr>
        <w:t xml:space="preserve">has been included by EF </w:t>
      </w:r>
      <w:r w:rsidR="006558C9" w:rsidRPr="00356C5D">
        <w:rPr>
          <w:rFonts w:asciiTheme="majorHAnsi" w:hAnsiTheme="majorHAnsi"/>
          <w:color w:val="000000"/>
        </w:rPr>
        <w:t>based on member information in the attendees list)</w:t>
      </w:r>
      <w:r w:rsidR="00EE5D1D" w:rsidRPr="00356C5D">
        <w:rPr>
          <w:rFonts w:asciiTheme="majorHAnsi" w:hAnsiTheme="majorHAnsi"/>
          <w:color w:val="000000"/>
        </w:rPr>
        <w:t>:</w:t>
      </w:r>
    </w:p>
    <w:p w14:paraId="51717156" w14:textId="3CF5E648" w:rsidR="006558C9" w:rsidRPr="00356C5D" w:rsidRDefault="006558C9" w:rsidP="006558C9">
      <w:pPr>
        <w:pStyle w:val="ListParagraph"/>
        <w:numPr>
          <w:ilvl w:val="0"/>
          <w:numId w:val="35"/>
        </w:numPr>
        <w:rPr>
          <w:rFonts w:asciiTheme="majorHAnsi" w:hAnsiTheme="majorHAnsi"/>
          <w:color w:val="000000"/>
        </w:rPr>
      </w:pPr>
      <w:r w:rsidRPr="00356C5D">
        <w:rPr>
          <w:rFonts w:asciiTheme="majorHAnsi" w:hAnsiTheme="majorHAnsi"/>
        </w:rPr>
        <w:t xml:space="preserve">Six to eight members from within the Cochrane community </w:t>
      </w:r>
      <w:r w:rsidR="00EE5D1D" w:rsidRPr="00356C5D">
        <w:rPr>
          <w:rFonts w:asciiTheme="majorHAnsi" w:hAnsiTheme="majorHAnsi"/>
        </w:rPr>
        <w:t>(</w:t>
      </w:r>
      <w:r w:rsidR="00EE5D1D" w:rsidRPr="00356C5D">
        <w:rPr>
          <w:rFonts w:asciiTheme="majorHAnsi" w:hAnsiTheme="majorHAnsi"/>
          <w:color w:val="FF0000"/>
        </w:rPr>
        <w:t>eight</w:t>
      </w:r>
      <w:r w:rsidR="00EE5D1D" w:rsidRPr="00356C5D">
        <w:rPr>
          <w:rFonts w:asciiTheme="majorHAnsi" w:hAnsiTheme="majorHAnsi"/>
        </w:rPr>
        <w:t xml:space="preserve">) = </w:t>
      </w:r>
      <w:r w:rsidRPr="00356C5D">
        <w:rPr>
          <w:rFonts w:asciiTheme="majorHAnsi" w:hAnsiTheme="majorHAnsi"/>
        </w:rPr>
        <w:t xml:space="preserve">Donna Gilles (CRG Editor), Julian Higgins (Editorial Board, Methods Executive, Methods Group Convenor, Handbook Editor), </w:t>
      </w:r>
      <w:proofErr w:type="spellStart"/>
      <w:r w:rsidRPr="00356C5D">
        <w:rPr>
          <w:rFonts w:asciiTheme="majorHAnsi" w:hAnsiTheme="majorHAnsi"/>
        </w:rPr>
        <w:t>AsbjØrn</w:t>
      </w:r>
      <w:proofErr w:type="spellEnd"/>
      <w:r w:rsidRPr="00356C5D">
        <w:rPr>
          <w:rFonts w:asciiTheme="majorHAnsi" w:hAnsiTheme="majorHAnsi"/>
        </w:rPr>
        <w:t xml:space="preserve"> </w:t>
      </w:r>
      <w:proofErr w:type="spellStart"/>
      <w:r w:rsidRPr="00356C5D">
        <w:rPr>
          <w:rFonts w:asciiTheme="majorHAnsi" w:hAnsiTheme="majorHAnsi"/>
        </w:rPr>
        <w:t>Hróbjartsson</w:t>
      </w:r>
      <w:proofErr w:type="spellEnd"/>
      <w:r w:rsidRPr="00356C5D">
        <w:rPr>
          <w:rFonts w:asciiTheme="majorHAnsi" w:hAnsiTheme="majorHAnsi"/>
        </w:rPr>
        <w:t xml:space="preserve"> (Methods Group Convenor), Ana Marušić (Cochrane Centre), Jane Noyes (Methods </w:t>
      </w:r>
      <w:r w:rsidRPr="00356C5D">
        <w:rPr>
          <w:rFonts w:asciiTheme="majorHAnsi" w:hAnsiTheme="majorHAnsi"/>
        </w:rPr>
        <w:lastRenderedPageBreak/>
        <w:t xml:space="preserve">Executive, Methods Group Convenor), </w:t>
      </w:r>
      <w:r w:rsidRPr="00356C5D">
        <w:rPr>
          <w:rFonts w:asciiTheme="majorHAnsi" w:hAnsiTheme="majorHAnsi" w:cs="SourceSansPro-Regular"/>
        </w:rPr>
        <w:t>Tomas Pantoja (Cochrane Centre, CRG Editor)</w:t>
      </w:r>
      <w:r w:rsidR="00EE5D1D" w:rsidRPr="00356C5D">
        <w:rPr>
          <w:rFonts w:asciiTheme="majorHAnsi" w:hAnsiTheme="majorHAnsi" w:cs="SourceSansPro-Regular"/>
        </w:rPr>
        <w:t xml:space="preserve">, Johannes </w:t>
      </w:r>
      <w:proofErr w:type="spellStart"/>
      <w:r w:rsidR="00EE5D1D" w:rsidRPr="00356C5D">
        <w:rPr>
          <w:rFonts w:asciiTheme="majorHAnsi" w:hAnsiTheme="majorHAnsi" w:cs="SourceSansPro-Regular"/>
        </w:rPr>
        <w:t>Reistma</w:t>
      </w:r>
      <w:proofErr w:type="spellEnd"/>
      <w:r w:rsidR="00EE5D1D" w:rsidRPr="00356C5D">
        <w:rPr>
          <w:rFonts w:asciiTheme="majorHAnsi" w:hAnsiTheme="majorHAnsi" w:cs="SourceSansPro-Regular"/>
        </w:rPr>
        <w:t xml:space="preserve"> (</w:t>
      </w:r>
      <w:r w:rsidR="00EE5D1D" w:rsidRPr="00356C5D">
        <w:rPr>
          <w:rFonts w:asciiTheme="majorHAnsi" w:hAnsiTheme="majorHAnsi"/>
        </w:rPr>
        <w:t>Methods Group Convenor), Nicole Skoetz (Network Senior Editor, Editorial Board).</w:t>
      </w:r>
    </w:p>
    <w:p w14:paraId="76BAED8E" w14:textId="409019B8" w:rsidR="006558C9" w:rsidRPr="00356C5D" w:rsidRDefault="006558C9" w:rsidP="006558C9">
      <w:pPr>
        <w:pStyle w:val="ListParagraph"/>
        <w:numPr>
          <w:ilvl w:val="0"/>
          <w:numId w:val="35"/>
        </w:numPr>
        <w:rPr>
          <w:rFonts w:asciiTheme="majorHAnsi" w:hAnsiTheme="majorHAnsi"/>
          <w:color w:val="000000"/>
        </w:rPr>
      </w:pPr>
      <w:r w:rsidRPr="00356C5D">
        <w:rPr>
          <w:rFonts w:asciiTheme="majorHAnsi" w:hAnsiTheme="majorHAnsi" w:cs="SourceSansPro-Regular"/>
        </w:rPr>
        <w:t>Four to six external members for independent balance</w:t>
      </w:r>
      <w:r w:rsidR="00EE5D1D" w:rsidRPr="00356C5D">
        <w:rPr>
          <w:rFonts w:asciiTheme="majorHAnsi" w:hAnsiTheme="majorHAnsi" w:cs="SourceSansPro-Regular"/>
        </w:rPr>
        <w:t xml:space="preserve"> (</w:t>
      </w:r>
      <w:r w:rsidR="00EE5D1D" w:rsidRPr="00356C5D">
        <w:rPr>
          <w:rFonts w:asciiTheme="majorHAnsi" w:hAnsiTheme="majorHAnsi" w:cs="SourceSansPro-Regular"/>
          <w:color w:val="FF0000"/>
        </w:rPr>
        <w:t>five</w:t>
      </w:r>
      <w:r w:rsidR="00EE5D1D" w:rsidRPr="00356C5D">
        <w:rPr>
          <w:rFonts w:asciiTheme="majorHAnsi" w:hAnsiTheme="majorHAnsi" w:cs="SourceSansPro-Regular"/>
        </w:rPr>
        <w:t xml:space="preserve">, </w:t>
      </w:r>
      <w:proofErr w:type="spellStart"/>
      <w:r w:rsidR="00EE5D1D" w:rsidRPr="00356C5D">
        <w:rPr>
          <w:rFonts w:asciiTheme="majorHAnsi" w:hAnsiTheme="majorHAnsi" w:cs="SourceSansPro-Regular"/>
        </w:rPr>
        <w:t>inc.</w:t>
      </w:r>
      <w:proofErr w:type="spellEnd"/>
      <w:r w:rsidR="00EE5D1D" w:rsidRPr="00356C5D">
        <w:rPr>
          <w:rFonts w:asciiTheme="majorHAnsi" w:hAnsiTheme="majorHAnsi" w:cs="SourceSansPro-Regular"/>
        </w:rPr>
        <w:t xml:space="preserve"> Cochrane Consumers and guideline representative)</w:t>
      </w:r>
      <w:r w:rsidRPr="00356C5D">
        <w:rPr>
          <w:rFonts w:asciiTheme="majorHAnsi" w:hAnsiTheme="majorHAnsi" w:cs="SourceSansPro-Regular"/>
        </w:rPr>
        <w:t xml:space="preserve"> - </w:t>
      </w:r>
      <w:r w:rsidR="00EE5D1D" w:rsidRPr="00356C5D">
        <w:rPr>
          <w:rFonts w:asciiTheme="majorHAnsi" w:hAnsiTheme="majorHAnsi" w:cs="SourceSansPro-Regular"/>
        </w:rPr>
        <w:t>Philippe Ravaud, Rebecca Ryan (Cochrane Consumers), Christopher Schmid, Nichole Taske (guideline representative), Corinna Dressler.</w:t>
      </w:r>
    </w:p>
    <w:p w14:paraId="50406CFE" w14:textId="2DDE1C71" w:rsidR="006558C9" w:rsidRPr="00356C5D" w:rsidRDefault="006558C9" w:rsidP="006558C9">
      <w:pPr>
        <w:pStyle w:val="ListParagraph"/>
        <w:numPr>
          <w:ilvl w:val="0"/>
          <w:numId w:val="35"/>
        </w:numPr>
        <w:rPr>
          <w:rFonts w:asciiTheme="majorHAnsi" w:hAnsiTheme="majorHAnsi"/>
          <w:color w:val="000000"/>
        </w:rPr>
      </w:pPr>
      <w:r w:rsidRPr="00356C5D">
        <w:rPr>
          <w:rFonts w:asciiTheme="majorHAnsi" w:hAnsiTheme="majorHAnsi" w:cs="SourceSansPro-Regular"/>
        </w:rPr>
        <w:t xml:space="preserve">The Editor in Chief </w:t>
      </w:r>
      <w:r w:rsidR="00EE5D1D" w:rsidRPr="00356C5D">
        <w:rPr>
          <w:rFonts w:asciiTheme="majorHAnsi" w:hAnsiTheme="majorHAnsi" w:cs="SourceSansPro-Regular"/>
        </w:rPr>
        <w:t>-</w:t>
      </w:r>
      <w:r w:rsidRPr="00356C5D">
        <w:rPr>
          <w:rFonts w:asciiTheme="majorHAnsi" w:hAnsiTheme="majorHAnsi" w:cs="SourceSansPro-Regular"/>
        </w:rPr>
        <w:t xml:space="preserve"> Karla Soares-Weiser</w:t>
      </w:r>
      <w:r w:rsidR="00C9026B" w:rsidRPr="00356C5D">
        <w:rPr>
          <w:rFonts w:asciiTheme="majorHAnsi" w:hAnsiTheme="majorHAnsi" w:cs="SourceSansPro-Regular"/>
        </w:rPr>
        <w:t xml:space="preserve"> (</w:t>
      </w:r>
      <w:r w:rsidR="00C9026B" w:rsidRPr="00356C5D">
        <w:rPr>
          <w:rFonts w:asciiTheme="majorHAnsi" w:hAnsiTheme="majorHAnsi" w:cs="SourceSansPro-Regular"/>
          <w:color w:val="FF0000"/>
        </w:rPr>
        <w:t>one</w:t>
      </w:r>
      <w:r w:rsidR="00C9026B" w:rsidRPr="00356C5D">
        <w:rPr>
          <w:rFonts w:asciiTheme="majorHAnsi" w:hAnsiTheme="majorHAnsi" w:cs="SourceSansPro-Regular"/>
        </w:rPr>
        <w:t>)</w:t>
      </w:r>
      <w:r w:rsidRPr="00356C5D">
        <w:rPr>
          <w:rFonts w:asciiTheme="majorHAnsi" w:hAnsiTheme="majorHAnsi" w:cs="SourceSansPro-Regular"/>
        </w:rPr>
        <w:t>.</w:t>
      </w:r>
    </w:p>
    <w:p w14:paraId="7E272F0D" w14:textId="58246C93" w:rsidR="00EE5D1D" w:rsidRPr="00356C5D" w:rsidRDefault="006558C9" w:rsidP="00EE5D1D">
      <w:pPr>
        <w:pStyle w:val="ListParagraph"/>
        <w:numPr>
          <w:ilvl w:val="0"/>
          <w:numId w:val="35"/>
        </w:numPr>
        <w:rPr>
          <w:rFonts w:asciiTheme="majorHAnsi" w:hAnsiTheme="majorHAnsi"/>
          <w:color w:val="000000"/>
        </w:rPr>
      </w:pPr>
      <w:r w:rsidRPr="00356C5D">
        <w:rPr>
          <w:rFonts w:asciiTheme="majorHAnsi" w:hAnsiTheme="majorHAnsi"/>
        </w:rPr>
        <w:t>An early career researcher</w:t>
      </w:r>
      <w:r w:rsidR="00EE5D1D" w:rsidRPr="00356C5D">
        <w:rPr>
          <w:rFonts w:asciiTheme="majorHAnsi" w:hAnsiTheme="majorHAnsi"/>
        </w:rPr>
        <w:t xml:space="preserve"> </w:t>
      </w:r>
    </w:p>
    <w:p w14:paraId="4DB39654" w14:textId="77777777" w:rsidR="00D50DEF" w:rsidRDefault="00D50DEF" w:rsidP="00D50DEF">
      <w:pPr>
        <w:pStyle w:val="NoSpacing"/>
      </w:pPr>
    </w:p>
    <w:p w14:paraId="54DA1CBB" w14:textId="77777777" w:rsidR="00D50DEF" w:rsidRDefault="00D50DEF" w:rsidP="004708C7">
      <w:pPr>
        <w:pStyle w:val="Heading1"/>
      </w:pPr>
    </w:p>
    <w:p w14:paraId="694D8786" w14:textId="5522F7E1" w:rsidR="004708C7" w:rsidRDefault="004708C7" w:rsidP="004708C7">
      <w:pPr>
        <w:pStyle w:val="Heading1"/>
      </w:pPr>
      <w:r>
        <w:t>APPENDIX</w:t>
      </w:r>
      <w:r w:rsidR="006F59CF">
        <w:t xml:space="preserve"> </w:t>
      </w:r>
      <w:r w:rsidR="00267923">
        <w:t>2</w:t>
      </w:r>
      <w:r w:rsidR="00A616F7">
        <w:t xml:space="preserve"> –</w:t>
      </w:r>
      <w:r w:rsidR="00356C5D">
        <w:t xml:space="preserve"> M</w:t>
      </w:r>
      <w:r w:rsidR="00A616F7">
        <w:t>ethods submission</w:t>
      </w:r>
      <w:r w:rsidR="00C334A0">
        <w:t>(s)</w:t>
      </w:r>
    </w:p>
    <w:p w14:paraId="1368D87F" w14:textId="77777777" w:rsidR="00A616F7" w:rsidRPr="00A616F7" w:rsidRDefault="00A616F7" w:rsidP="00A616F7">
      <w:pPr>
        <w:shd w:val="clear" w:color="auto" w:fill="FFFFFF"/>
        <w:textAlignment w:val="baseline"/>
        <w:rPr>
          <w:rFonts w:asciiTheme="majorHAnsi" w:eastAsia="Times New Roman" w:hAnsiTheme="majorHAnsi" w:cs="Lucida Grande"/>
          <w:b/>
          <w:sz w:val="20"/>
          <w:szCs w:val="20"/>
          <w:lang w:eastAsia="en-GB"/>
        </w:rPr>
      </w:pPr>
      <w:r w:rsidRPr="00A616F7">
        <w:rPr>
          <w:rFonts w:asciiTheme="majorHAnsi" w:eastAsia="Times New Roman" w:hAnsiTheme="majorHAnsi" w:cs="Lucida Grande"/>
          <w:b/>
          <w:sz w:val="20"/>
          <w:szCs w:val="20"/>
          <w:lang w:eastAsia="en-GB"/>
        </w:rPr>
        <w:t>SHORT TITLE OF METHOD OR METHODS RELATED DEVELOPMENT</w:t>
      </w:r>
    </w:p>
    <w:p w14:paraId="38462C45" w14:textId="77777777" w:rsidR="00A616F7" w:rsidRPr="00A616F7" w:rsidRDefault="00A616F7" w:rsidP="00A616F7">
      <w:pPr>
        <w:shd w:val="clear" w:color="auto" w:fill="FFFFFF"/>
        <w:textAlignment w:val="baseline"/>
        <w:rPr>
          <w:rFonts w:asciiTheme="majorHAnsi" w:eastAsia="Times New Roman" w:hAnsiTheme="majorHAnsi" w:cs="Lucida Grande"/>
          <w:sz w:val="20"/>
          <w:szCs w:val="20"/>
          <w:lang w:eastAsia="en-GB"/>
        </w:rPr>
      </w:pPr>
      <w:r w:rsidRPr="00A616F7">
        <w:rPr>
          <w:rFonts w:asciiTheme="majorHAnsi" w:eastAsia="Times New Roman" w:hAnsiTheme="majorHAnsi" w:cs="Lucida Grande"/>
          <w:sz w:val="20"/>
          <w:szCs w:val="20"/>
          <w:lang w:eastAsia="en-GB"/>
        </w:rPr>
        <w:t>Use of interactive analysis framework to facilitate diagnostic test accuracy and network meta-analyses analyses</w:t>
      </w:r>
    </w:p>
    <w:p w14:paraId="07C56CE9" w14:textId="77777777" w:rsidR="00A616F7" w:rsidRPr="00C334A0" w:rsidRDefault="00A616F7" w:rsidP="00A616F7">
      <w:pPr>
        <w:shd w:val="clear" w:color="auto" w:fill="FFFFFF"/>
        <w:textAlignment w:val="baseline"/>
        <w:rPr>
          <w:rFonts w:asciiTheme="majorHAnsi" w:eastAsia="Times New Roman" w:hAnsiTheme="majorHAnsi" w:cs="Lucida Grande"/>
          <w:b/>
          <w:sz w:val="20"/>
          <w:szCs w:val="20"/>
          <w:lang w:eastAsia="en-GB"/>
        </w:rPr>
      </w:pPr>
    </w:p>
    <w:p w14:paraId="771D2C61" w14:textId="43C23B8E" w:rsidR="00A616F7" w:rsidRPr="00A616F7" w:rsidRDefault="00A616F7" w:rsidP="00A616F7">
      <w:pPr>
        <w:shd w:val="clear" w:color="auto" w:fill="FFFFFF"/>
        <w:textAlignment w:val="baseline"/>
        <w:rPr>
          <w:rFonts w:asciiTheme="majorHAnsi" w:eastAsia="Times New Roman" w:hAnsiTheme="majorHAnsi" w:cs="Lucida Grande"/>
          <w:b/>
          <w:sz w:val="20"/>
          <w:szCs w:val="20"/>
          <w:lang w:eastAsia="en-GB"/>
        </w:rPr>
      </w:pPr>
      <w:r w:rsidRPr="00A616F7">
        <w:rPr>
          <w:rFonts w:asciiTheme="majorHAnsi" w:eastAsia="Times New Roman" w:hAnsiTheme="majorHAnsi" w:cs="Lucida Grande"/>
          <w:b/>
          <w:sz w:val="20"/>
          <w:szCs w:val="20"/>
          <w:lang w:eastAsia="en-GB"/>
        </w:rPr>
        <w:t>Name</w:t>
      </w:r>
      <w:r w:rsidRPr="00C334A0">
        <w:rPr>
          <w:rFonts w:asciiTheme="majorHAnsi" w:eastAsia="Times New Roman" w:hAnsiTheme="majorHAnsi" w:cs="Lucida Grande"/>
          <w:b/>
          <w:sz w:val="20"/>
          <w:szCs w:val="20"/>
          <w:lang w:eastAsia="en-GB"/>
        </w:rPr>
        <w:t xml:space="preserve">: </w:t>
      </w:r>
      <w:r w:rsidRPr="00A616F7">
        <w:rPr>
          <w:rFonts w:asciiTheme="majorHAnsi" w:eastAsia="Times New Roman" w:hAnsiTheme="majorHAnsi" w:cs="Lucida Grande"/>
          <w:sz w:val="20"/>
          <w:szCs w:val="20"/>
          <w:lang w:eastAsia="en-GB"/>
        </w:rPr>
        <w:t>Alex Sutton</w:t>
      </w:r>
    </w:p>
    <w:p w14:paraId="353C72DC" w14:textId="0C342F03" w:rsidR="00A616F7" w:rsidRPr="00A616F7" w:rsidRDefault="00A616F7" w:rsidP="00A616F7">
      <w:pPr>
        <w:shd w:val="clear" w:color="auto" w:fill="FFFFFF"/>
        <w:textAlignment w:val="baseline"/>
        <w:rPr>
          <w:rFonts w:asciiTheme="majorHAnsi" w:eastAsia="Times New Roman" w:hAnsiTheme="majorHAnsi" w:cs="Lucida Grande"/>
          <w:b/>
          <w:sz w:val="20"/>
          <w:szCs w:val="20"/>
          <w:lang w:eastAsia="en-GB"/>
        </w:rPr>
      </w:pPr>
      <w:r w:rsidRPr="00A616F7">
        <w:rPr>
          <w:rFonts w:asciiTheme="majorHAnsi" w:eastAsia="Times New Roman" w:hAnsiTheme="majorHAnsi" w:cs="Lucida Grande"/>
          <w:b/>
          <w:sz w:val="20"/>
          <w:szCs w:val="20"/>
          <w:lang w:eastAsia="en-GB"/>
        </w:rPr>
        <w:t>Email</w:t>
      </w:r>
      <w:r w:rsidRPr="00C334A0">
        <w:rPr>
          <w:rFonts w:asciiTheme="majorHAnsi" w:eastAsia="Times New Roman" w:hAnsiTheme="majorHAnsi" w:cs="Lucida Grande"/>
          <w:b/>
          <w:sz w:val="20"/>
          <w:szCs w:val="20"/>
          <w:lang w:eastAsia="en-GB"/>
        </w:rPr>
        <w:t xml:space="preserve">: </w:t>
      </w:r>
      <w:r w:rsidRPr="00A616F7">
        <w:rPr>
          <w:rFonts w:asciiTheme="majorHAnsi" w:eastAsia="Times New Roman" w:hAnsiTheme="majorHAnsi" w:cs="Lucida Grande"/>
          <w:sz w:val="20"/>
          <w:szCs w:val="20"/>
          <w:lang w:eastAsia="en-GB"/>
        </w:rPr>
        <w:t>ajs22@le.ac.uk</w:t>
      </w:r>
    </w:p>
    <w:p w14:paraId="40F90A95" w14:textId="277C0042" w:rsidR="00A616F7" w:rsidRPr="00A616F7" w:rsidRDefault="00A616F7" w:rsidP="00A616F7">
      <w:pPr>
        <w:shd w:val="clear" w:color="auto" w:fill="FFFFFF"/>
        <w:textAlignment w:val="baseline"/>
        <w:rPr>
          <w:rFonts w:asciiTheme="majorHAnsi" w:eastAsia="Times New Roman" w:hAnsiTheme="majorHAnsi" w:cs="Lucida Grande"/>
          <w:b/>
          <w:sz w:val="20"/>
          <w:szCs w:val="20"/>
          <w:lang w:eastAsia="en-GB"/>
        </w:rPr>
      </w:pPr>
      <w:r w:rsidRPr="00A616F7">
        <w:rPr>
          <w:rFonts w:asciiTheme="majorHAnsi" w:eastAsia="Times New Roman" w:hAnsiTheme="majorHAnsi" w:cs="Lucida Grande"/>
          <w:b/>
          <w:sz w:val="20"/>
          <w:szCs w:val="20"/>
          <w:lang w:eastAsia="en-GB"/>
        </w:rPr>
        <w:t>Contact details</w:t>
      </w:r>
      <w:r w:rsidRPr="00C334A0">
        <w:rPr>
          <w:rFonts w:asciiTheme="majorHAnsi" w:eastAsia="Times New Roman" w:hAnsiTheme="majorHAnsi" w:cs="Lucida Grande"/>
          <w:b/>
          <w:sz w:val="20"/>
          <w:szCs w:val="20"/>
          <w:lang w:eastAsia="en-GB"/>
        </w:rPr>
        <w:t xml:space="preserve">: </w:t>
      </w:r>
      <w:r w:rsidRPr="00A616F7">
        <w:rPr>
          <w:rFonts w:asciiTheme="majorHAnsi" w:eastAsia="Times New Roman" w:hAnsiTheme="majorHAnsi" w:cs="Lucida Grande"/>
          <w:sz w:val="20"/>
          <w:szCs w:val="20"/>
          <w:lang w:eastAsia="en-GB"/>
        </w:rPr>
        <w:t>Department of Health Sciences</w:t>
      </w:r>
      <w:r w:rsidRPr="00C334A0">
        <w:rPr>
          <w:rFonts w:asciiTheme="majorHAnsi" w:eastAsia="Times New Roman" w:hAnsiTheme="majorHAnsi" w:cs="Lucida Grande"/>
          <w:sz w:val="20"/>
          <w:szCs w:val="20"/>
          <w:lang w:eastAsia="en-GB"/>
        </w:rPr>
        <w:t xml:space="preserve">, </w:t>
      </w:r>
      <w:r w:rsidRPr="00A616F7">
        <w:rPr>
          <w:rFonts w:asciiTheme="majorHAnsi" w:eastAsia="Times New Roman" w:hAnsiTheme="majorHAnsi" w:cs="Lucida Grande"/>
          <w:sz w:val="20"/>
          <w:szCs w:val="20"/>
          <w:lang w:eastAsia="en-GB"/>
        </w:rPr>
        <w:t>College of Life Sciences</w:t>
      </w:r>
      <w:r w:rsidRPr="00C334A0">
        <w:rPr>
          <w:rFonts w:asciiTheme="majorHAnsi" w:eastAsia="Times New Roman" w:hAnsiTheme="majorHAnsi" w:cs="Lucida Grande"/>
          <w:sz w:val="20"/>
          <w:szCs w:val="20"/>
          <w:lang w:eastAsia="en-GB"/>
        </w:rPr>
        <w:t xml:space="preserve">, </w:t>
      </w:r>
      <w:r w:rsidRPr="00A616F7">
        <w:rPr>
          <w:rFonts w:asciiTheme="majorHAnsi" w:eastAsia="Times New Roman" w:hAnsiTheme="majorHAnsi" w:cs="Lucida Grande"/>
          <w:sz w:val="20"/>
          <w:szCs w:val="20"/>
          <w:lang w:eastAsia="en-GB"/>
        </w:rPr>
        <w:t>University of Leicester</w:t>
      </w:r>
      <w:r w:rsidRPr="00C334A0">
        <w:rPr>
          <w:rFonts w:asciiTheme="majorHAnsi" w:eastAsia="Times New Roman" w:hAnsiTheme="majorHAnsi" w:cs="Lucida Grande"/>
          <w:sz w:val="20"/>
          <w:szCs w:val="20"/>
          <w:lang w:eastAsia="en-GB"/>
        </w:rPr>
        <w:t xml:space="preserve">, </w:t>
      </w:r>
      <w:r w:rsidRPr="00A616F7">
        <w:rPr>
          <w:rFonts w:asciiTheme="majorHAnsi" w:eastAsia="Times New Roman" w:hAnsiTheme="majorHAnsi" w:cs="Lucida Grande"/>
          <w:sz w:val="20"/>
          <w:szCs w:val="20"/>
          <w:lang w:eastAsia="en-GB"/>
        </w:rPr>
        <w:t>George Davies Centre</w:t>
      </w:r>
      <w:r w:rsidRPr="00C334A0">
        <w:rPr>
          <w:rFonts w:asciiTheme="majorHAnsi" w:eastAsia="Times New Roman" w:hAnsiTheme="majorHAnsi" w:cs="Lucida Grande"/>
          <w:sz w:val="20"/>
          <w:szCs w:val="20"/>
          <w:lang w:eastAsia="en-GB"/>
        </w:rPr>
        <w:t>,</w:t>
      </w:r>
      <w:r w:rsidRPr="00A616F7">
        <w:rPr>
          <w:rFonts w:asciiTheme="majorHAnsi" w:eastAsia="Times New Roman" w:hAnsiTheme="majorHAnsi" w:cs="Lucida Grande"/>
          <w:sz w:val="20"/>
          <w:szCs w:val="20"/>
          <w:lang w:eastAsia="en-GB"/>
        </w:rPr>
        <w:t> University Road</w:t>
      </w:r>
      <w:r w:rsidRPr="00C334A0">
        <w:rPr>
          <w:rFonts w:asciiTheme="majorHAnsi" w:eastAsia="Times New Roman" w:hAnsiTheme="majorHAnsi" w:cs="Lucida Grande"/>
          <w:sz w:val="20"/>
          <w:szCs w:val="20"/>
          <w:lang w:eastAsia="en-GB"/>
        </w:rPr>
        <w:t xml:space="preserve">, </w:t>
      </w:r>
      <w:r w:rsidRPr="00A616F7">
        <w:rPr>
          <w:rFonts w:asciiTheme="majorHAnsi" w:eastAsia="Times New Roman" w:hAnsiTheme="majorHAnsi" w:cs="Lucida Grande"/>
          <w:sz w:val="20"/>
          <w:szCs w:val="20"/>
          <w:lang w:eastAsia="en-GB"/>
        </w:rPr>
        <w:t>LEICESTER LE1 7RH UK </w:t>
      </w:r>
    </w:p>
    <w:p w14:paraId="2D17D690" w14:textId="46C25C15" w:rsidR="00A616F7" w:rsidRPr="00A616F7" w:rsidRDefault="00A616F7" w:rsidP="00A616F7">
      <w:pPr>
        <w:shd w:val="clear" w:color="auto" w:fill="FFFFFF"/>
        <w:textAlignment w:val="baseline"/>
        <w:rPr>
          <w:rFonts w:asciiTheme="majorHAnsi" w:eastAsia="Times New Roman" w:hAnsiTheme="majorHAnsi" w:cs="Lucida Grande"/>
          <w:sz w:val="20"/>
          <w:szCs w:val="20"/>
          <w:bdr w:val="none" w:sz="0" w:space="0" w:color="auto" w:frame="1"/>
          <w:lang w:eastAsia="en-GB"/>
        </w:rPr>
      </w:pPr>
      <w:r w:rsidRPr="00A616F7">
        <w:rPr>
          <w:rFonts w:asciiTheme="majorHAnsi" w:eastAsia="Times New Roman" w:hAnsiTheme="majorHAnsi" w:cs="Lucida Grande"/>
          <w:b/>
          <w:sz w:val="20"/>
          <w:szCs w:val="20"/>
          <w:lang w:eastAsia="en-GB"/>
        </w:rPr>
        <w:t>Telephone</w:t>
      </w:r>
      <w:r w:rsidRPr="00C334A0">
        <w:rPr>
          <w:rFonts w:asciiTheme="majorHAnsi" w:eastAsia="Times New Roman" w:hAnsiTheme="majorHAnsi" w:cs="Lucida Grande"/>
          <w:sz w:val="20"/>
          <w:szCs w:val="20"/>
          <w:bdr w:val="none" w:sz="0" w:space="0" w:color="auto" w:frame="1"/>
          <w:lang w:eastAsia="en-GB"/>
        </w:rPr>
        <w:t>: +</w:t>
      </w:r>
      <w:r w:rsidRPr="00A616F7">
        <w:rPr>
          <w:rFonts w:asciiTheme="majorHAnsi" w:eastAsia="Times New Roman" w:hAnsiTheme="majorHAnsi" w:cs="Lucida Grande"/>
          <w:sz w:val="20"/>
          <w:szCs w:val="20"/>
          <w:lang w:eastAsia="en-GB"/>
        </w:rPr>
        <w:t> 441162297268</w:t>
      </w:r>
    </w:p>
    <w:p w14:paraId="3C4D54F9" w14:textId="2C440680" w:rsidR="00A616F7" w:rsidRPr="00C334A0" w:rsidRDefault="00A616F7" w:rsidP="00A616F7">
      <w:pPr>
        <w:shd w:val="clear" w:color="auto" w:fill="FFFFFF"/>
        <w:textAlignment w:val="baseline"/>
        <w:rPr>
          <w:rFonts w:asciiTheme="majorHAnsi" w:eastAsia="Times New Roman" w:hAnsiTheme="majorHAnsi" w:cs="Lucida Grande"/>
          <w:sz w:val="20"/>
          <w:szCs w:val="20"/>
          <w:lang w:eastAsia="en-GB"/>
        </w:rPr>
      </w:pPr>
      <w:r w:rsidRPr="00A616F7">
        <w:rPr>
          <w:rFonts w:asciiTheme="majorHAnsi" w:eastAsia="Times New Roman" w:hAnsiTheme="majorHAnsi" w:cs="Lucida Grande"/>
          <w:b/>
          <w:sz w:val="20"/>
          <w:szCs w:val="20"/>
          <w:lang w:eastAsia="en-GB"/>
        </w:rPr>
        <w:t xml:space="preserve">Cochrane </w:t>
      </w:r>
      <w:r w:rsidRPr="00C334A0">
        <w:rPr>
          <w:rFonts w:asciiTheme="majorHAnsi" w:eastAsia="Times New Roman" w:hAnsiTheme="majorHAnsi" w:cs="Lucida Grande"/>
          <w:b/>
          <w:sz w:val="20"/>
          <w:szCs w:val="20"/>
          <w:lang w:eastAsia="en-GB"/>
        </w:rPr>
        <w:t xml:space="preserve">Affiliation: </w:t>
      </w:r>
      <w:r w:rsidRPr="00A616F7">
        <w:rPr>
          <w:rFonts w:asciiTheme="majorHAnsi" w:eastAsia="Times New Roman" w:hAnsiTheme="majorHAnsi" w:cs="Lucida Grande"/>
          <w:sz w:val="20"/>
          <w:szCs w:val="20"/>
          <w:lang w:eastAsia="en-GB"/>
        </w:rPr>
        <w:t>methods group</w:t>
      </w:r>
      <w:r w:rsidRPr="00C334A0">
        <w:rPr>
          <w:rFonts w:asciiTheme="majorHAnsi" w:eastAsia="Times New Roman" w:hAnsiTheme="majorHAnsi" w:cs="Lucida Grande"/>
          <w:sz w:val="20"/>
          <w:szCs w:val="20"/>
          <w:lang w:eastAsia="en-GB"/>
        </w:rPr>
        <w:t xml:space="preserve">, </w:t>
      </w:r>
      <w:r w:rsidRPr="00A616F7">
        <w:rPr>
          <w:rFonts w:asciiTheme="majorHAnsi" w:eastAsia="Times New Roman" w:hAnsiTheme="majorHAnsi" w:cs="Lucida Grande"/>
          <w:sz w:val="20"/>
          <w:szCs w:val="20"/>
          <w:lang w:eastAsia="en-GB"/>
        </w:rPr>
        <w:t>bias group</w:t>
      </w:r>
      <w:r w:rsidRPr="00C334A0">
        <w:rPr>
          <w:rFonts w:asciiTheme="majorHAnsi" w:eastAsia="Times New Roman" w:hAnsiTheme="majorHAnsi" w:cs="Lucida Grande"/>
          <w:sz w:val="20"/>
          <w:szCs w:val="20"/>
          <w:lang w:eastAsia="en-GB"/>
        </w:rPr>
        <w:t xml:space="preserve">, </w:t>
      </w:r>
      <w:r w:rsidRPr="00A616F7">
        <w:rPr>
          <w:rFonts w:asciiTheme="majorHAnsi" w:eastAsia="Times New Roman" w:hAnsiTheme="majorHAnsi" w:cs="Lucida Grande"/>
          <w:sz w:val="20"/>
          <w:szCs w:val="20"/>
          <w:lang w:eastAsia="en-GB"/>
        </w:rPr>
        <w:t>non-randomised group</w:t>
      </w:r>
      <w:r w:rsidRPr="00C334A0">
        <w:rPr>
          <w:rFonts w:asciiTheme="majorHAnsi" w:eastAsia="Times New Roman" w:hAnsiTheme="majorHAnsi" w:cs="Lucida Grande"/>
          <w:sz w:val="20"/>
          <w:szCs w:val="20"/>
          <w:lang w:eastAsia="en-GB"/>
        </w:rPr>
        <w:t xml:space="preserve">, </w:t>
      </w:r>
      <w:r w:rsidRPr="00A616F7">
        <w:rPr>
          <w:rFonts w:asciiTheme="majorHAnsi" w:eastAsia="Times New Roman" w:hAnsiTheme="majorHAnsi" w:cs="Lucida Grande"/>
          <w:sz w:val="20"/>
          <w:szCs w:val="20"/>
          <w:lang w:eastAsia="en-GB"/>
        </w:rPr>
        <w:t>dementia &amp; cognitive impairment</w:t>
      </w:r>
      <w:r w:rsidRPr="00C334A0">
        <w:rPr>
          <w:rFonts w:asciiTheme="majorHAnsi" w:eastAsia="Times New Roman" w:hAnsiTheme="majorHAnsi" w:cs="Lucida Grande"/>
          <w:sz w:val="20"/>
          <w:szCs w:val="20"/>
          <w:lang w:eastAsia="en-GB"/>
        </w:rPr>
        <w:t xml:space="preserve">, </w:t>
      </w:r>
      <w:r w:rsidRPr="00A616F7">
        <w:rPr>
          <w:rFonts w:asciiTheme="majorHAnsi" w:eastAsia="Times New Roman" w:hAnsiTheme="majorHAnsi" w:cs="Lucida Grande"/>
          <w:sz w:val="20"/>
          <w:szCs w:val="20"/>
          <w:lang w:eastAsia="en-GB"/>
        </w:rPr>
        <w:t>accident prevention</w:t>
      </w:r>
    </w:p>
    <w:p w14:paraId="48BA17C5" w14:textId="77777777" w:rsidR="00A616F7" w:rsidRPr="00A616F7" w:rsidRDefault="00A616F7" w:rsidP="00A616F7">
      <w:pPr>
        <w:shd w:val="clear" w:color="auto" w:fill="FFFFFF"/>
        <w:textAlignment w:val="baseline"/>
        <w:rPr>
          <w:rFonts w:asciiTheme="majorHAnsi" w:eastAsia="Times New Roman" w:hAnsiTheme="majorHAnsi" w:cs="Lucida Grande"/>
          <w:b/>
          <w:sz w:val="20"/>
          <w:szCs w:val="20"/>
          <w:lang w:eastAsia="en-GB"/>
        </w:rPr>
      </w:pPr>
    </w:p>
    <w:p w14:paraId="7DC19D49" w14:textId="77777777" w:rsidR="00A616F7" w:rsidRPr="00A616F7" w:rsidRDefault="00A616F7" w:rsidP="00A616F7">
      <w:pPr>
        <w:shd w:val="clear" w:color="auto" w:fill="FFFFFF"/>
        <w:textAlignment w:val="baseline"/>
        <w:rPr>
          <w:rFonts w:asciiTheme="majorHAnsi" w:eastAsia="Times New Roman" w:hAnsiTheme="majorHAnsi" w:cs="Lucida Grande"/>
          <w:b/>
          <w:sz w:val="20"/>
          <w:szCs w:val="20"/>
          <w:lang w:eastAsia="en-GB"/>
        </w:rPr>
      </w:pPr>
      <w:r w:rsidRPr="00A616F7">
        <w:rPr>
          <w:rFonts w:asciiTheme="majorHAnsi" w:eastAsia="Times New Roman" w:hAnsiTheme="majorHAnsi" w:cs="Lucida Grande"/>
          <w:b/>
          <w:sz w:val="20"/>
          <w:szCs w:val="20"/>
          <w:lang w:eastAsia="en-GB"/>
        </w:rPr>
        <w:t>Lead researchers or developers</w:t>
      </w:r>
    </w:p>
    <w:p w14:paraId="07BBE8A4" w14:textId="71CBAF5E" w:rsidR="00A616F7" w:rsidRPr="00A616F7" w:rsidRDefault="00A616F7" w:rsidP="00A616F7">
      <w:pPr>
        <w:shd w:val="clear" w:color="auto" w:fill="FFFFFF"/>
        <w:textAlignment w:val="baseline"/>
        <w:rPr>
          <w:rFonts w:asciiTheme="majorHAnsi" w:eastAsia="Times New Roman" w:hAnsiTheme="majorHAnsi" w:cs="Lucida Grande"/>
          <w:sz w:val="20"/>
          <w:szCs w:val="20"/>
          <w:lang w:eastAsia="en-GB"/>
        </w:rPr>
      </w:pPr>
      <w:r w:rsidRPr="00A616F7">
        <w:rPr>
          <w:rFonts w:asciiTheme="majorHAnsi" w:eastAsia="Times New Roman" w:hAnsiTheme="majorHAnsi" w:cs="Lucida Grande"/>
          <w:sz w:val="20"/>
          <w:szCs w:val="20"/>
          <w:lang w:eastAsia="en-GB"/>
        </w:rPr>
        <w:t>Several people from the Complex Review Support Unit (</w:t>
      </w:r>
      <w:hyperlink r:id="rId12" w:history="1">
        <w:r w:rsidRPr="00C334A0">
          <w:rPr>
            <w:rStyle w:val="Hyperlink"/>
            <w:rFonts w:asciiTheme="majorHAnsi" w:eastAsia="Times New Roman" w:hAnsiTheme="majorHAnsi" w:cs="Lucida Grande"/>
            <w:color w:val="auto"/>
            <w:sz w:val="20"/>
            <w:szCs w:val="20"/>
            <w:lang w:eastAsia="en-GB"/>
          </w:rPr>
          <w:t>http://www.nihrcrsu.org/</w:t>
        </w:r>
      </w:hyperlink>
      <w:r w:rsidRPr="00C334A0">
        <w:rPr>
          <w:rFonts w:asciiTheme="majorHAnsi" w:eastAsia="Times New Roman" w:hAnsiTheme="majorHAnsi" w:cs="Lucida Grande"/>
          <w:sz w:val="20"/>
          <w:szCs w:val="20"/>
          <w:lang w:eastAsia="en-GB"/>
        </w:rPr>
        <w:t xml:space="preserve">) </w:t>
      </w:r>
      <w:r w:rsidRPr="00A616F7">
        <w:rPr>
          <w:rFonts w:asciiTheme="majorHAnsi" w:eastAsia="Times New Roman" w:hAnsiTheme="majorHAnsi" w:cs="Lucida Grande"/>
          <w:sz w:val="20"/>
          <w:szCs w:val="20"/>
          <w:lang w:eastAsia="en-GB"/>
        </w:rPr>
        <w:t>and beyond</w:t>
      </w:r>
      <w:r w:rsidRPr="00A616F7">
        <w:rPr>
          <w:rFonts w:asciiTheme="majorHAnsi" w:eastAsia="Times New Roman" w:hAnsiTheme="majorHAnsi" w:cs="Lucida Grande"/>
          <w:sz w:val="20"/>
          <w:szCs w:val="20"/>
          <w:lang w:eastAsia="en-GB"/>
        </w:rPr>
        <w:br/>
        <w:t>A comprehensive list can be supplied later if necessary.</w:t>
      </w:r>
    </w:p>
    <w:p w14:paraId="4ED89D71" w14:textId="77777777" w:rsidR="00A616F7" w:rsidRPr="00A616F7" w:rsidRDefault="00A616F7" w:rsidP="00A616F7">
      <w:pPr>
        <w:shd w:val="clear" w:color="auto" w:fill="FFFFFF"/>
        <w:textAlignment w:val="baseline"/>
        <w:rPr>
          <w:rFonts w:asciiTheme="majorHAnsi" w:eastAsia="Times New Roman" w:hAnsiTheme="majorHAnsi" w:cs="Lucida Grande"/>
          <w:b/>
          <w:sz w:val="20"/>
          <w:szCs w:val="20"/>
          <w:lang w:eastAsia="en-GB"/>
        </w:rPr>
      </w:pPr>
      <w:r w:rsidRPr="00A616F7">
        <w:rPr>
          <w:rFonts w:asciiTheme="majorHAnsi" w:eastAsia="Times New Roman" w:hAnsiTheme="majorHAnsi" w:cs="Lucida Grande"/>
          <w:b/>
          <w:sz w:val="20"/>
          <w:szCs w:val="20"/>
          <w:lang w:eastAsia="en-GB"/>
        </w:rPr>
        <w:t>Aims and Objectives</w:t>
      </w:r>
    </w:p>
    <w:p w14:paraId="671CC4ED" w14:textId="2E13ADD9" w:rsidR="00A616F7" w:rsidRPr="00A616F7" w:rsidRDefault="00A616F7" w:rsidP="00A616F7">
      <w:pPr>
        <w:shd w:val="clear" w:color="auto" w:fill="FFFFFF"/>
        <w:textAlignment w:val="baseline"/>
        <w:rPr>
          <w:rFonts w:asciiTheme="majorHAnsi" w:eastAsia="Times New Roman" w:hAnsiTheme="majorHAnsi" w:cs="Lucida Grande"/>
          <w:sz w:val="20"/>
          <w:szCs w:val="20"/>
          <w:lang w:eastAsia="en-GB"/>
        </w:rPr>
      </w:pPr>
      <w:r w:rsidRPr="00A616F7">
        <w:rPr>
          <w:rFonts w:asciiTheme="majorHAnsi" w:eastAsia="Times New Roman" w:hAnsiTheme="majorHAnsi" w:cs="Lucida Grande"/>
          <w:sz w:val="20"/>
          <w:szCs w:val="20"/>
          <w:lang w:eastAsia="en-GB"/>
        </w:rPr>
        <w:t>To develop interactive software to facilitate meta-analysis which otherwise requires specialist software routines which are difficult to use by non-statistical experts. Also, to provide a powerful interface so even statisticians will want to use the software for its power, speed, flexibility and ease of use.</w:t>
      </w:r>
      <w:r w:rsidRPr="00A616F7">
        <w:rPr>
          <w:rFonts w:asciiTheme="majorHAnsi" w:eastAsia="Times New Roman" w:hAnsiTheme="majorHAnsi" w:cs="Lucida Grande"/>
          <w:sz w:val="20"/>
          <w:szCs w:val="20"/>
          <w:lang w:eastAsia="en-GB"/>
        </w:rPr>
        <w:br/>
        <w:t>This software has been developed, in part, as part of work with the NIHR Complex Review Support Unit which supports UK based Cochrane authors. Experiences through this unit indicated software mas a major barrier for Cochrane reviewers to use the most relevant analysis methods for diagnostic test accuracy and network meta-analyses. This software aims to remove that barrier, and initial feedback suggests it is being successfully used by pilot groups.</w:t>
      </w:r>
    </w:p>
    <w:p w14:paraId="55BB9FDF" w14:textId="77777777" w:rsidR="00A616F7" w:rsidRPr="00A616F7" w:rsidRDefault="00A616F7" w:rsidP="00A616F7">
      <w:pPr>
        <w:shd w:val="clear" w:color="auto" w:fill="FFFFFF"/>
        <w:textAlignment w:val="baseline"/>
        <w:rPr>
          <w:rFonts w:asciiTheme="majorHAnsi" w:eastAsia="Times New Roman" w:hAnsiTheme="majorHAnsi" w:cs="Lucida Grande"/>
          <w:b/>
          <w:sz w:val="20"/>
          <w:szCs w:val="20"/>
          <w:lang w:eastAsia="en-GB"/>
        </w:rPr>
      </w:pPr>
      <w:r w:rsidRPr="00A616F7">
        <w:rPr>
          <w:rFonts w:asciiTheme="majorHAnsi" w:eastAsia="Times New Roman" w:hAnsiTheme="majorHAnsi" w:cs="Lucida Grande"/>
          <w:b/>
          <w:sz w:val="20"/>
          <w:szCs w:val="20"/>
          <w:lang w:eastAsia="en-GB"/>
        </w:rPr>
        <w:t>Key features</w:t>
      </w:r>
    </w:p>
    <w:p w14:paraId="71538EEE" w14:textId="77777777" w:rsidR="00A616F7" w:rsidRPr="00C334A0" w:rsidRDefault="00A616F7" w:rsidP="00A616F7">
      <w:pPr>
        <w:pStyle w:val="ListParagraph"/>
        <w:numPr>
          <w:ilvl w:val="0"/>
          <w:numId w:val="19"/>
        </w:numPr>
        <w:shd w:val="clear" w:color="auto" w:fill="FFFFFF"/>
        <w:textAlignment w:val="baseline"/>
        <w:rPr>
          <w:rFonts w:asciiTheme="majorHAnsi" w:eastAsia="Times New Roman" w:hAnsiTheme="majorHAnsi" w:cs="Lucida Grande"/>
          <w:sz w:val="20"/>
          <w:szCs w:val="20"/>
          <w:lang w:eastAsia="en-GB"/>
        </w:rPr>
      </w:pPr>
      <w:r w:rsidRPr="00C334A0">
        <w:rPr>
          <w:rFonts w:asciiTheme="majorHAnsi" w:eastAsia="Times New Roman" w:hAnsiTheme="majorHAnsi" w:cs="Lucida Grande"/>
          <w:sz w:val="20"/>
          <w:szCs w:val="20"/>
          <w:lang w:eastAsia="en-GB"/>
        </w:rPr>
        <w:t>Point and click interface, removing barrier to entry for non-statistical experts for specialist network meta-analysis and diagnostic test accuracy analysis types. Both of which are not available in Cochrane software.</w:t>
      </w:r>
    </w:p>
    <w:p w14:paraId="50C55111" w14:textId="3CC3EB5E" w:rsidR="00A616F7" w:rsidRPr="00C334A0" w:rsidRDefault="00A616F7" w:rsidP="00A616F7">
      <w:pPr>
        <w:pStyle w:val="ListParagraph"/>
        <w:numPr>
          <w:ilvl w:val="0"/>
          <w:numId w:val="19"/>
        </w:numPr>
        <w:shd w:val="clear" w:color="auto" w:fill="FFFFFF"/>
        <w:textAlignment w:val="baseline"/>
        <w:rPr>
          <w:rFonts w:asciiTheme="majorHAnsi" w:eastAsia="Times New Roman" w:hAnsiTheme="majorHAnsi" w:cs="Lucida Grande"/>
          <w:sz w:val="20"/>
          <w:szCs w:val="20"/>
          <w:lang w:eastAsia="en-GB"/>
        </w:rPr>
      </w:pPr>
      <w:r w:rsidRPr="00C334A0">
        <w:rPr>
          <w:rFonts w:asciiTheme="majorHAnsi" w:eastAsia="Times New Roman" w:hAnsiTheme="majorHAnsi" w:cs="Lucida Grande"/>
          <w:sz w:val="20"/>
          <w:szCs w:val="20"/>
          <w:lang w:eastAsia="en-GB"/>
        </w:rPr>
        <w:t xml:space="preserve">Runs in a web browser minimising compatibility </w:t>
      </w:r>
      <w:proofErr w:type="gramStart"/>
      <w:r w:rsidRPr="00C334A0">
        <w:rPr>
          <w:rFonts w:asciiTheme="majorHAnsi" w:eastAsia="Times New Roman" w:hAnsiTheme="majorHAnsi" w:cs="Lucida Grande"/>
          <w:sz w:val="20"/>
          <w:szCs w:val="20"/>
          <w:lang w:eastAsia="en-GB"/>
        </w:rPr>
        <w:t>problems</w:t>
      </w:r>
      <w:proofErr w:type="gramEnd"/>
      <w:r w:rsidRPr="00C334A0">
        <w:rPr>
          <w:rFonts w:asciiTheme="majorHAnsi" w:eastAsia="Times New Roman" w:hAnsiTheme="majorHAnsi" w:cs="Lucida Grande"/>
          <w:sz w:val="20"/>
          <w:szCs w:val="20"/>
          <w:lang w:eastAsia="en-GB"/>
        </w:rPr>
        <w:t>. </w:t>
      </w:r>
    </w:p>
    <w:p w14:paraId="32CB9BE3" w14:textId="77777777" w:rsidR="00A616F7" w:rsidRPr="00C334A0" w:rsidRDefault="00A616F7" w:rsidP="00A616F7">
      <w:pPr>
        <w:pStyle w:val="ListParagraph"/>
        <w:numPr>
          <w:ilvl w:val="0"/>
          <w:numId w:val="19"/>
        </w:numPr>
        <w:shd w:val="clear" w:color="auto" w:fill="FFFFFF"/>
        <w:textAlignment w:val="baseline"/>
        <w:rPr>
          <w:rFonts w:asciiTheme="majorHAnsi" w:eastAsia="Times New Roman" w:hAnsiTheme="majorHAnsi" w:cs="Lucida Grande"/>
          <w:sz w:val="20"/>
          <w:szCs w:val="20"/>
          <w:lang w:eastAsia="en-GB"/>
        </w:rPr>
      </w:pPr>
      <w:r w:rsidRPr="00C334A0">
        <w:rPr>
          <w:rFonts w:asciiTheme="majorHAnsi" w:eastAsia="Times New Roman" w:hAnsiTheme="majorHAnsi" w:cs="Lucida Grande"/>
          <w:sz w:val="20"/>
          <w:szCs w:val="20"/>
          <w:lang w:eastAsia="en-GB"/>
        </w:rPr>
        <w:lastRenderedPageBreak/>
        <w:t>Underpinned by analysis routines developed in R (by others) ensuring accuracy of results.</w:t>
      </w:r>
    </w:p>
    <w:p w14:paraId="5D3D5423" w14:textId="77777777" w:rsidR="00A616F7" w:rsidRPr="00C334A0" w:rsidRDefault="00A616F7" w:rsidP="00A616F7">
      <w:pPr>
        <w:pStyle w:val="ListParagraph"/>
        <w:numPr>
          <w:ilvl w:val="0"/>
          <w:numId w:val="19"/>
        </w:numPr>
        <w:shd w:val="clear" w:color="auto" w:fill="FFFFFF"/>
        <w:textAlignment w:val="baseline"/>
        <w:rPr>
          <w:rFonts w:asciiTheme="majorHAnsi" w:eastAsia="Times New Roman" w:hAnsiTheme="majorHAnsi" w:cs="Lucida Grande"/>
          <w:sz w:val="20"/>
          <w:szCs w:val="20"/>
          <w:lang w:eastAsia="en-GB"/>
        </w:rPr>
      </w:pPr>
      <w:r w:rsidRPr="00C334A0">
        <w:rPr>
          <w:rFonts w:asciiTheme="majorHAnsi" w:eastAsia="Times New Roman" w:hAnsiTheme="majorHAnsi" w:cs="Lucida Grande"/>
          <w:sz w:val="20"/>
          <w:szCs w:val="20"/>
          <w:lang w:eastAsia="en-GB"/>
        </w:rPr>
        <w:t>Emphasis given to visual output formats that are clinically relevant</w:t>
      </w:r>
    </w:p>
    <w:p w14:paraId="29D4B6C8" w14:textId="77777777" w:rsidR="00A616F7" w:rsidRPr="00C334A0" w:rsidRDefault="00A616F7" w:rsidP="00A616F7">
      <w:pPr>
        <w:pStyle w:val="ListParagraph"/>
        <w:numPr>
          <w:ilvl w:val="0"/>
          <w:numId w:val="19"/>
        </w:numPr>
        <w:shd w:val="clear" w:color="auto" w:fill="FFFFFF"/>
        <w:textAlignment w:val="baseline"/>
        <w:rPr>
          <w:rFonts w:asciiTheme="majorHAnsi" w:eastAsia="Times New Roman" w:hAnsiTheme="majorHAnsi" w:cs="Lucida Grande"/>
          <w:sz w:val="20"/>
          <w:szCs w:val="20"/>
          <w:lang w:eastAsia="en-GB"/>
        </w:rPr>
      </w:pPr>
      <w:r w:rsidRPr="00C334A0">
        <w:rPr>
          <w:rFonts w:asciiTheme="majorHAnsi" w:eastAsia="Times New Roman" w:hAnsiTheme="majorHAnsi" w:cs="Lucida Grande"/>
          <w:sz w:val="20"/>
          <w:szCs w:val="20"/>
          <w:lang w:eastAsia="en-GB"/>
        </w:rPr>
        <w:t xml:space="preserve">Some graphics - like the displaying of study quality on </w:t>
      </w:r>
      <w:proofErr w:type="gramStart"/>
      <w:r w:rsidRPr="00C334A0">
        <w:rPr>
          <w:rFonts w:asciiTheme="majorHAnsi" w:eastAsia="Times New Roman" w:hAnsiTheme="majorHAnsi" w:cs="Lucida Grande"/>
          <w:sz w:val="20"/>
          <w:szCs w:val="20"/>
          <w:lang w:eastAsia="en-GB"/>
        </w:rPr>
        <w:t>an</w:t>
      </w:r>
      <w:proofErr w:type="gramEnd"/>
      <w:r w:rsidRPr="00C334A0">
        <w:rPr>
          <w:rFonts w:asciiTheme="majorHAnsi" w:eastAsia="Times New Roman" w:hAnsiTheme="majorHAnsi" w:cs="Lucida Grande"/>
          <w:sz w:val="20"/>
          <w:szCs w:val="20"/>
          <w:lang w:eastAsia="en-GB"/>
        </w:rPr>
        <w:t xml:space="preserve"> ROC plane - are novel and not available in other software</w:t>
      </w:r>
    </w:p>
    <w:p w14:paraId="20DD0F84" w14:textId="77777777" w:rsidR="00A616F7" w:rsidRPr="00C334A0" w:rsidRDefault="00A616F7" w:rsidP="00A616F7">
      <w:pPr>
        <w:pStyle w:val="ListParagraph"/>
        <w:numPr>
          <w:ilvl w:val="0"/>
          <w:numId w:val="19"/>
        </w:numPr>
        <w:shd w:val="clear" w:color="auto" w:fill="FFFFFF"/>
        <w:textAlignment w:val="baseline"/>
        <w:rPr>
          <w:rFonts w:asciiTheme="majorHAnsi" w:eastAsia="Times New Roman" w:hAnsiTheme="majorHAnsi" w:cs="Lucida Grande"/>
          <w:sz w:val="20"/>
          <w:szCs w:val="20"/>
          <w:lang w:eastAsia="en-GB"/>
        </w:rPr>
      </w:pPr>
      <w:r w:rsidRPr="00C334A0">
        <w:rPr>
          <w:rFonts w:asciiTheme="majorHAnsi" w:eastAsia="Times New Roman" w:hAnsiTheme="majorHAnsi" w:cs="Lucida Grande"/>
          <w:sz w:val="20"/>
          <w:szCs w:val="20"/>
          <w:lang w:eastAsia="en-GB"/>
        </w:rPr>
        <w:t>All output can be exported and imported into Cochrane Reviews.</w:t>
      </w:r>
    </w:p>
    <w:p w14:paraId="169CE4CF" w14:textId="77777777" w:rsidR="00A616F7" w:rsidRPr="00C334A0" w:rsidRDefault="00A616F7" w:rsidP="00A616F7">
      <w:pPr>
        <w:pStyle w:val="ListParagraph"/>
        <w:numPr>
          <w:ilvl w:val="0"/>
          <w:numId w:val="19"/>
        </w:numPr>
        <w:shd w:val="clear" w:color="auto" w:fill="FFFFFF"/>
        <w:textAlignment w:val="baseline"/>
        <w:rPr>
          <w:rFonts w:asciiTheme="majorHAnsi" w:eastAsia="Times New Roman" w:hAnsiTheme="majorHAnsi" w:cs="Lucida Grande"/>
          <w:sz w:val="20"/>
          <w:szCs w:val="20"/>
          <w:lang w:eastAsia="en-GB"/>
        </w:rPr>
      </w:pPr>
      <w:r w:rsidRPr="00C334A0">
        <w:rPr>
          <w:rFonts w:asciiTheme="majorHAnsi" w:eastAsia="Times New Roman" w:hAnsiTheme="majorHAnsi" w:cs="Lucida Grande"/>
          <w:sz w:val="20"/>
          <w:szCs w:val="20"/>
          <w:lang w:eastAsia="en-GB"/>
        </w:rPr>
        <w:t>We are open to suggestions for improvements and new features to add to the software</w:t>
      </w:r>
    </w:p>
    <w:p w14:paraId="7F00DC59" w14:textId="77777777" w:rsidR="00A616F7" w:rsidRPr="00C334A0" w:rsidRDefault="00A616F7" w:rsidP="00A616F7">
      <w:pPr>
        <w:pStyle w:val="ListParagraph"/>
        <w:numPr>
          <w:ilvl w:val="0"/>
          <w:numId w:val="19"/>
        </w:numPr>
        <w:shd w:val="clear" w:color="auto" w:fill="FFFFFF"/>
        <w:textAlignment w:val="baseline"/>
        <w:rPr>
          <w:rFonts w:asciiTheme="majorHAnsi" w:eastAsia="Times New Roman" w:hAnsiTheme="majorHAnsi" w:cs="Lucida Grande"/>
          <w:sz w:val="20"/>
          <w:szCs w:val="20"/>
          <w:lang w:eastAsia="en-GB"/>
        </w:rPr>
      </w:pPr>
      <w:r w:rsidRPr="00C334A0">
        <w:rPr>
          <w:rFonts w:asciiTheme="majorHAnsi" w:eastAsia="Times New Roman" w:hAnsiTheme="majorHAnsi" w:cs="Lucida Grande"/>
          <w:sz w:val="20"/>
          <w:szCs w:val="20"/>
          <w:lang w:eastAsia="en-GB"/>
        </w:rPr>
        <w:t>Individual studies can be excluded in seconds facilitating sensitivity analysis. </w:t>
      </w:r>
    </w:p>
    <w:p w14:paraId="19F11DCF" w14:textId="556AD882" w:rsidR="00A616F7" w:rsidRPr="00C334A0" w:rsidRDefault="00A616F7" w:rsidP="00A616F7">
      <w:pPr>
        <w:pStyle w:val="ListParagraph"/>
        <w:numPr>
          <w:ilvl w:val="0"/>
          <w:numId w:val="19"/>
        </w:numPr>
        <w:shd w:val="clear" w:color="auto" w:fill="FFFFFF"/>
        <w:textAlignment w:val="baseline"/>
        <w:rPr>
          <w:rFonts w:asciiTheme="majorHAnsi" w:eastAsia="Times New Roman" w:hAnsiTheme="majorHAnsi" w:cs="Lucida Grande"/>
          <w:sz w:val="20"/>
          <w:szCs w:val="20"/>
          <w:lang w:eastAsia="en-GB"/>
        </w:rPr>
      </w:pPr>
      <w:r w:rsidRPr="00C334A0">
        <w:rPr>
          <w:rFonts w:asciiTheme="majorHAnsi" w:eastAsia="Times New Roman" w:hAnsiTheme="majorHAnsi" w:cs="Lucida Grande"/>
          <w:sz w:val="20"/>
          <w:szCs w:val="20"/>
          <w:lang w:eastAsia="en-GB"/>
        </w:rPr>
        <w:t>It would be very possible, with amendments to the software, to use the interface to view the data in published Cochrane reviews allowing authors to carry out their own critique of the analysis / conduct alternative analyses and produce alternative views of the data not included in the original review.</w:t>
      </w:r>
    </w:p>
    <w:p w14:paraId="521141F9" w14:textId="77777777" w:rsidR="00A616F7" w:rsidRPr="00A616F7" w:rsidRDefault="00A616F7" w:rsidP="00A616F7">
      <w:pPr>
        <w:shd w:val="clear" w:color="auto" w:fill="FFFFFF"/>
        <w:textAlignment w:val="baseline"/>
        <w:rPr>
          <w:rFonts w:asciiTheme="majorHAnsi" w:eastAsia="Times New Roman" w:hAnsiTheme="majorHAnsi" w:cs="Lucida Grande"/>
          <w:b/>
          <w:sz w:val="20"/>
          <w:szCs w:val="20"/>
          <w:lang w:eastAsia="en-GB"/>
        </w:rPr>
      </w:pPr>
      <w:r w:rsidRPr="00A616F7">
        <w:rPr>
          <w:rFonts w:asciiTheme="majorHAnsi" w:eastAsia="Times New Roman" w:hAnsiTheme="majorHAnsi" w:cs="Lucida Grande"/>
          <w:b/>
          <w:sz w:val="20"/>
          <w:szCs w:val="20"/>
          <w:lang w:eastAsia="en-GB"/>
        </w:rPr>
        <w:t>Key publication or guidance document</w:t>
      </w:r>
    </w:p>
    <w:p w14:paraId="67D7AECA" w14:textId="22D5A523" w:rsidR="00A616F7" w:rsidRDefault="00A616F7" w:rsidP="005451E2">
      <w:pPr>
        <w:shd w:val="clear" w:color="auto" w:fill="FFFFFF"/>
        <w:textAlignment w:val="baseline"/>
        <w:rPr>
          <w:rStyle w:val="Hyperlink"/>
          <w:rFonts w:asciiTheme="majorHAnsi" w:eastAsia="Times New Roman" w:hAnsiTheme="majorHAnsi" w:cs="Lucida Grande"/>
          <w:sz w:val="20"/>
          <w:szCs w:val="20"/>
          <w:lang w:eastAsia="en-GB"/>
        </w:rPr>
      </w:pPr>
      <w:r w:rsidRPr="00A616F7">
        <w:rPr>
          <w:rFonts w:asciiTheme="majorHAnsi" w:eastAsia="Times New Roman" w:hAnsiTheme="majorHAnsi" w:cs="Lucida Grande"/>
          <w:sz w:val="20"/>
          <w:szCs w:val="20"/>
          <w:lang w:eastAsia="en-GB"/>
        </w:rPr>
        <w:t>We have 2 peer reviewed papers re-submitted post revisions and are hoping these will be accepted and published shortly (at which point they will be open access):</w:t>
      </w:r>
      <w:r w:rsidRPr="00A616F7">
        <w:rPr>
          <w:rFonts w:asciiTheme="majorHAnsi" w:eastAsia="Times New Roman" w:hAnsiTheme="majorHAnsi" w:cs="Lucida Grande"/>
          <w:sz w:val="20"/>
          <w:szCs w:val="20"/>
          <w:lang w:eastAsia="en-GB"/>
        </w:rPr>
        <w:br/>
        <w:t>The apps (which are free to use and under active development) are available at:</w:t>
      </w:r>
      <w:r w:rsidRPr="00A616F7">
        <w:rPr>
          <w:rFonts w:asciiTheme="majorHAnsi" w:eastAsia="Times New Roman" w:hAnsiTheme="majorHAnsi" w:cs="Lucida Grande"/>
          <w:color w:val="333333"/>
          <w:sz w:val="20"/>
          <w:szCs w:val="20"/>
          <w:lang w:eastAsia="en-GB"/>
        </w:rPr>
        <w:br/>
      </w:r>
      <w:hyperlink r:id="rId13" w:history="1">
        <w:r w:rsidRPr="00F04F30">
          <w:rPr>
            <w:rStyle w:val="Hyperlink"/>
            <w:rFonts w:asciiTheme="majorHAnsi" w:eastAsia="Times New Roman" w:hAnsiTheme="majorHAnsi" w:cs="Lucida Grande"/>
            <w:sz w:val="20"/>
            <w:szCs w:val="20"/>
            <w:lang w:eastAsia="en-GB"/>
          </w:rPr>
          <w:t>https://crsu.shinyapps.io/dta_ma/</w:t>
        </w:r>
      </w:hyperlink>
      <w:r w:rsidRPr="00F04F30">
        <w:rPr>
          <w:rFonts w:asciiTheme="majorHAnsi" w:eastAsia="Times New Roman" w:hAnsiTheme="majorHAnsi" w:cs="Lucida Grande"/>
          <w:color w:val="333333"/>
          <w:sz w:val="20"/>
          <w:szCs w:val="20"/>
          <w:lang w:eastAsia="en-GB"/>
        </w:rPr>
        <w:t xml:space="preserve"> </w:t>
      </w:r>
      <w:r w:rsidRPr="00A616F7">
        <w:rPr>
          <w:rFonts w:asciiTheme="majorHAnsi" w:eastAsia="Times New Roman" w:hAnsiTheme="majorHAnsi" w:cs="Lucida Grande"/>
          <w:color w:val="333333"/>
          <w:sz w:val="20"/>
          <w:szCs w:val="20"/>
          <w:lang w:eastAsia="en-GB"/>
        </w:rPr>
        <w:t> </w:t>
      </w:r>
      <w:r w:rsidRPr="00A616F7">
        <w:rPr>
          <w:rFonts w:asciiTheme="majorHAnsi" w:eastAsia="Times New Roman" w:hAnsiTheme="majorHAnsi" w:cs="Lucida Grande"/>
          <w:color w:val="333333"/>
          <w:sz w:val="20"/>
          <w:szCs w:val="20"/>
          <w:lang w:eastAsia="en-GB"/>
        </w:rPr>
        <w:br/>
      </w:r>
      <w:hyperlink r:id="rId14" w:history="1">
        <w:r w:rsidRPr="00F04F30">
          <w:rPr>
            <w:rStyle w:val="Hyperlink"/>
            <w:rFonts w:asciiTheme="majorHAnsi" w:eastAsia="Times New Roman" w:hAnsiTheme="majorHAnsi" w:cs="Lucida Grande"/>
            <w:sz w:val="20"/>
            <w:szCs w:val="20"/>
            <w:lang w:eastAsia="en-GB"/>
          </w:rPr>
          <w:t>https://crsu.shinyapps.io/metainsightc/</w:t>
        </w:r>
      </w:hyperlink>
    </w:p>
    <w:p w14:paraId="792CEFA0" w14:textId="77777777" w:rsidR="005451E2" w:rsidRDefault="005451E2" w:rsidP="005451E2">
      <w:pPr>
        <w:shd w:val="clear" w:color="auto" w:fill="FFFFFF"/>
        <w:textAlignment w:val="baseline"/>
        <w:rPr>
          <w:rFonts w:asciiTheme="majorHAnsi" w:eastAsia="Times New Roman" w:hAnsiTheme="majorHAnsi" w:cs="Lucida Grande"/>
          <w:color w:val="333333"/>
          <w:sz w:val="20"/>
          <w:szCs w:val="20"/>
          <w:lang w:eastAsia="en-GB"/>
        </w:rPr>
      </w:pPr>
    </w:p>
    <w:p w14:paraId="0EA31E7F" w14:textId="77777777" w:rsidR="005451E2" w:rsidRPr="005451E2" w:rsidRDefault="005451E2" w:rsidP="005451E2">
      <w:pPr>
        <w:shd w:val="clear" w:color="auto" w:fill="FFFFFF"/>
        <w:textAlignment w:val="baseline"/>
        <w:rPr>
          <w:rFonts w:asciiTheme="majorHAnsi" w:eastAsia="Times New Roman" w:hAnsiTheme="majorHAnsi" w:cs="Lucida Grande"/>
          <w:color w:val="333333"/>
          <w:sz w:val="20"/>
          <w:szCs w:val="20"/>
          <w:lang w:eastAsia="en-GB"/>
        </w:rPr>
      </w:pPr>
    </w:p>
    <w:p w14:paraId="59DDB358" w14:textId="77777777" w:rsidR="00356C5D" w:rsidRDefault="00356C5D" w:rsidP="005451E2">
      <w:pPr>
        <w:pStyle w:val="Heading1"/>
      </w:pPr>
    </w:p>
    <w:p w14:paraId="20539813" w14:textId="398C63CE" w:rsidR="00A616F7" w:rsidRPr="00054057" w:rsidRDefault="00A616F7" w:rsidP="005451E2">
      <w:pPr>
        <w:pStyle w:val="Heading1"/>
      </w:pPr>
      <w:r>
        <w:t xml:space="preserve">APPENDIX </w:t>
      </w:r>
      <w:r w:rsidR="00E85C7F">
        <w:t>3</w:t>
      </w:r>
      <w:r>
        <w:t xml:space="preserve"> - Methods </w:t>
      </w:r>
      <w:r w:rsidR="0064750D">
        <w:t xml:space="preserve">decisions </w:t>
      </w:r>
      <w:r>
        <w:t>by the Scientific Committee (2017-201</w:t>
      </w:r>
      <w:r w:rsidR="0064750D">
        <w:t>9</w:t>
      </w:r>
      <w:r>
        <w:t>):</w:t>
      </w:r>
    </w:p>
    <w:p w14:paraId="415D7826" w14:textId="66C4D516" w:rsidR="00A616F7" w:rsidRPr="006458F5" w:rsidRDefault="00A616F7" w:rsidP="005451E2">
      <w:pPr>
        <w:spacing w:line="276" w:lineRule="auto"/>
        <w:rPr>
          <w:rFonts w:asciiTheme="majorHAnsi" w:hAnsiTheme="majorHAnsi"/>
          <w:b/>
          <w:sz w:val="20"/>
          <w:szCs w:val="20"/>
          <w:u w:val="single"/>
        </w:rPr>
      </w:pPr>
      <w:r w:rsidRPr="006458F5">
        <w:rPr>
          <w:rFonts w:asciiTheme="majorHAnsi" w:hAnsiTheme="majorHAnsi"/>
          <w:b/>
          <w:sz w:val="20"/>
          <w:szCs w:val="20"/>
          <w:u w:val="single"/>
        </w:rPr>
        <w:t>18 May 2017</w:t>
      </w:r>
    </w:p>
    <w:p w14:paraId="39D726CB" w14:textId="7B211033" w:rsidR="00A616F7" w:rsidRPr="005451E2" w:rsidRDefault="00A616F7" w:rsidP="005451E2">
      <w:pPr>
        <w:pStyle w:val="ListParagraph"/>
        <w:numPr>
          <w:ilvl w:val="0"/>
          <w:numId w:val="13"/>
        </w:numPr>
        <w:spacing w:line="276" w:lineRule="auto"/>
        <w:rPr>
          <w:rFonts w:asciiTheme="majorHAnsi" w:hAnsiTheme="majorHAnsi"/>
          <w:sz w:val="20"/>
          <w:szCs w:val="20"/>
        </w:rPr>
      </w:pPr>
      <w:r w:rsidRPr="006458F5">
        <w:rPr>
          <w:rFonts w:asciiTheme="majorHAnsi" w:hAnsiTheme="majorHAnsi"/>
          <w:b/>
          <w:sz w:val="20"/>
          <w:szCs w:val="20"/>
        </w:rPr>
        <w:t>ROB 2.0 = Highly recommended</w:t>
      </w:r>
      <w:r w:rsidRPr="006458F5">
        <w:rPr>
          <w:rFonts w:asciiTheme="majorHAnsi" w:hAnsiTheme="majorHAnsi"/>
          <w:sz w:val="20"/>
          <w:szCs w:val="20"/>
        </w:rPr>
        <w:t xml:space="preserve"> - </w:t>
      </w:r>
      <w:r w:rsidRPr="006458F5">
        <w:rPr>
          <w:rFonts w:asciiTheme="majorHAnsi" w:hAnsiTheme="majorHAnsi"/>
          <w:i/>
          <w:sz w:val="20"/>
          <w:szCs w:val="20"/>
        </w:rPr>
        <w:t>the recommendation is that it is mandatory for new reviews when officially launched. For updates, it is not reasonable to re-do</w:t>
      </w:r>
      <w:r w:rsidR="005451E2">
        <w:rPr>
          <w:rFonts w:asciiTheme="majorHAnsi" w:hAnsiTheme="majorHAnsi"/>
          <w:i/>
          <w:sz w:val="20"/>
          <w:szCs w:val="20"/>
        </w:rPr>
        <w:t xml:space="preserve"> </w:t>
      </w:r>
      <w:r w:rsidRPr="006458F5">
        <w:rPr>
          <w:rFonts w:asciiTheme="majorHAnsi" w:hAnsiTheme="majorHAnsi"/>
          <w:i/>
          <w:sz w:val="20"/>
          <w:szCs w:val="20"/>
        </w:rPr>
        <w:t>previously included studies and a strategy is required to handle these situations.</w:t>
      </w:r>
    </w:p>
    <w:p w14:paraId="39F0E5B1" w14:textId="69A881DA" w:rsidR="005451E2" w:rsidRPr="005451E2" w:rsidRDefault="005451E2" w:rsidP="005451E2">
      <w:pPr>
        <w:pStyle w:val="ListParagraph"/>
        <w:spacing w:line="276" w:lineRule="auto"/>
        <w:rPr>
          <w:color w:val="FF0000"/>
          <w:sz w:val="20"/>
          <w:szCs w:val="20"/>
        </w:rPr>
      </w:pPr>
      <w:r w:rsidRPr="005451E2">
        <w:rPr>
          <w:color w:val="FF0000"/>
          <w:sz w:val="20"/>
          <w:szCs w:val="20"/>
        </w:rPr>
        <w:t>Now included in the Content Strategy and a priority project for 20119 to assess the feasibility of implementation.</w:t>
      </w:r>
    </w:p>
    <w:p w14:paraId="0DF7FD2F" w14:textId="7641E840" w:rsidR="00A616F7" w:rsidRPr="005451E2" w:rsidRDefault="00A616F7" w:rsidP="005451E2">
      <w:pPr>
        <w:pStyle w:val="ListParagraph"/>
        <w:numPr>
          <w:ilvl w:val="0"/>
          <w:numId w:val="13"/>
        </w:numPr>
        <w:spacing w:line="276" w:lineRule="auto"/>
        <w:rPr>
          <w:rFonts w:asciiTheme="majorHAnsi" w:hAnsiTheme="majorHAnsi"/>
          <w:sz w:val="20"/>
          <w:szCs w:val="20"/>
        </w:rPr>
      </w:pPr>
      <w:r w:rsidRPr="006458F5">
        <w:rPr>
          <w:rFonts w:asciiTheme="majorHAnsi" w:hAnsiTheme="majorHAnsi"/>
          <w:b/>
          <w:sz w:val="20"/>
          <w:szCs w:val="20"/>
        </w:rPr>
        <w:t>ROBINS-I = Recommended with provisions</w:t>
      </w:r>
      <w:r w:rsidRPr="006458F5">
        <w:rPr>
          <w:rFonts w:asciiTheme="majorHAnsi" w:hAnsiTheme="majorHAnsi"/>
          <w:sz w:val="20"/>
          <w:szCs w:val="20"/>
        </w:rPr>
        <w:t xml:space="preserve"> - </w:t>
      </w:r>
      <w:r w:rsidRPr="006458F5">
        <w:rPr>
          <w:rFonts w:asciiTheme="majorHAnsi" w:hAnsiTheme="majorHAnsi"/>
          <w:i/>
          <w:sz w:val="20"/>
          <w:szCs w:val="20"/>
        </w:rPr>
        <w:t>the ROBINS-I tool is recommended as the preferred tool for new reviews. It is not mandatory. The importance of competency to use the tool will be highlighted in guidance.</w:t>
      </w:r>
    </w:p>
    <w:p w14:paraId="5977C514" w14:textId="28C4F912" w:rsidR="005451E2" w:rsidRPr="005451E2" w:rsidRDefault="005451E2" w:rsidP="005451E2">
      <w:pPr>
        <w:pStyle w:val="ListParagraph"/>
        <w:spacing w:line="276" w:lineRule="auto"/>
        <w:rPr>
          <w:color w:val="FF0000"/>
          <w:sz w:val="20"/>
          <w:szCs w:val="20"/>
        </w:rPr>
      </w:pPr>
      <w:r w:rsidRPr="005451E2">
        <w:rPr>
          <w:color w:val="FF0000"/>
          <w:sz w:val="20"/>
          <w:szCs w:val="20"/>
        </w:rPr>
        <w:t>Recommended but unsure of implementation or evaluation. Will need to discuss with developers.</w:t>
      </w:r>
    </w:p>
    <w:p w14:paraId="7DB8B9D4" w14:textId="04B8A606" w:rsidR="00A616F7" w:rsidRPr="005451E2" w:rsidRDefault="00A616F7" w:rsidP="005451E2">
      <w:pPr>
        <w:pStyle w:val="ListParagraph"/>
        <w:numPr>
          <w:ilvl w:val="0"/>
          <w:numId w:val="13"/>
        </w:numPr>
        <w:spacing w:line="276" w:lineRule="auto"/>
        <w:rPr>
          <w:rFonts w:asciiTheme="majorHAnsi" w:hAnsiTheme="majorHAnsi"/>
          <w:sz w:val="20"/>
          <w:szCs w:val="20"/>
        </w:rPr>
      </w:pPr>
      <w:r w:rsidRPr="006458F5">
        <w:rPr>
          <w:rFonts w:asciiTheme="majorHAnsi" w:hAnsiTheme="majorHAnsi"/>
          <w:b/>
          <w:sz w:val="20"/>
          <w:szCs w:val="20"/>
        </w:rPr>
        <w:t>Cumulative meta-analysis = Further evaluation required</w:t>
      </w:r>
      <w:r w:rsidRPr="006458F5">
        <w:rPr>
          <w:rFonts w:asciiTheme="majorHAnsi" w:hAnsiTheme="majorHAnsi"/>
          <w:sz w:val="20"/>
          <w:szCs w:val="20"/>
        </w:rPr>
        <w:t xml:space="preserve"> - </w:t>
      </w:r>
      <w:r w:rsidRPr="006458F5">
        <w:rPr>
          <w:rFonts w:asciiTheme="majorHAnsi" w:hAnsiTheme="majorHAnsi"/>
          <w:i/>
          <w:sz w:val="20"/>
          <w:szCs w:val="20"/>
        </w:rPr>
        <w:t>the CSC agreed that further technical examination of the key approaches was required to ascertain whether there is a preferred method, or whether the methods provide value to managing random error and are needed at all, or only in certain scenarios. An expert panel will be asked to consider the work completed by colleagues to date and will report to a future CSC.</w:t>
      </w:r>
    </w:p>
    <w:p w14:paraId="3AC5EBDA" w14:textId="55F5E276" w:rsidR="005451E2" w:rsidRPr="005451E2" w:rsidRDefault="005451E2" w:rsidP="005451E2">
      <w:pPr>
        <w:pStyle w:val="ListParagraph"/>
        <w:spacing w:line="276" w:lineRule="auto"/>
        <w:rPr>
          <w:rFonts w:asciiTheme="majorHAnsi" w:hAnsiTheme="majorHAnsi"/>
          <w:color w:val="FF0000"/>
          <w:sz w:val="20"/>
          <w:szCs w:val="20"/>
        </w:rPr>
      </w:pPr>
      <w:r w:rsidRPr="005451E2">
        <w:rPr>
          <w:color w:val="FF0000"/>
          <w:sz w:val="20"/>
          <w:szCs w:val="20"/>
        </w:rPr>
        <w:lastRenderedPageBreak/>
        <w:t xml:space="preserve">See points relating to whether using sequential methods to adjust P values is necessary in repeated meta-analyses for decision. </w:t>
      </w:r>
    </w:p>
    <w:p w14:paraId="32BDFE57" w14:textId="77777777" w:rsidR="00A616F7" w:rsidRPr="006458F5" w:rsidRDefault="00A616F7" w:rsidP="005451E2">
      <w:pPr>
        <w:spacing w:line="276" w:lineRule="auto"/>
        <w:rPr>
          <w:rFonts w:asciiTheme="majorHAnsi" w:hAnsiTheme="majorHAnsi"/>
          <w:sz w:val="20"/>
          <w:szCs w:val="20"/>
        </w:rPr>
      </w:pPr>
    </w:p>
    <w:p w14:paraId="67A7DA91" w14:textId="15B179C3" w:rsidR="00A616F7" w:rsidRPr="006458F5" w:rsidRDefault="00A616F7" w:rsidP="005451E2">
      <w:pPr>
        <w:spacing w:line="276" w:lineRule="auto"/>
        <w:rPr>
          <w:rFonts w:asciiTheme="majorHAnsi" w:hAnsiTheme="majorHAnsi"/>
          <w:b/>
          <w:sz w:val="20"/>
          <w:szCs w:val="20"/>
          <w:u w:val="single"/>
        </w:rPr>
      </w:pPr>
      <w:r w:rsidRPr="006458F5">
        <w:rPr>
          <w:rFonts w:asciiTheme="majorHAnsi" w:hAnsiTheme="majorHAnsi"/>
          <w:b/>
          <w:sz w:val="20"/>
          <w:szCs w:val="20"/>
          <w:u w:val="single"/>
        </w:rPr>
        <w:t>18 October 2017</w:t>
      </w:r>
    </w:p>
    <w:p w14:paraId="2D78EDA1" w14:textId="77777777" w:rsidR="00A616F7" w:rsidRPr="006458F5" w:rsidRDefault="00A616F7" w:rsidP="005451E2">
      <w:pPr>
        <w:pStyle w:val="ListParagraph"/>
        <w:numPr>
          <w:ilvl w:val="0"/>
          <w:numId w:val="14"/>
        </w:numPr>
        <w:spacing w:line="276" w:lineRule="auto"/>
        <w:rPr>
          <w:rFonts w:asciiTheme="majorHAnsi" w:hAnsiTheme="majorHAnsi"/>
          <w:sz w:val="20"/>
          <w:szCs w:val="20"/>
        </w:rPr>
      </w:pPr>
      <w:r w:rsidRPr="006458F5">
        <w:rPr>
          <w:rFonts w:asciiTheme="majorHAnsi" w:hAnsiTheme="majorHAnsi"/>
          <w:b/>
          <w:sz w:val="20"/>
          <w:szCs w:val="20"/>
        </w:rPr>
        <w:t>Inclusion of results from searching study registries in Cochrane reviews: completed but not published studies</w:t>
      </w:r>
      <w:r w:rsidRPr="006458F5">
        <w:rPr>
          <w:rFonts w:asciiTheme="majorHAnsi" w:hAnsiTheme="majorHAnsi"/>
          <w:sz w:val="20"/>
          <w:szCs w:val="20"/>
        </w:rPr>
        <w:t xml:space="preserve"> = </w:t>
      </w:r>
      <w:r w:rsidRPr="006458F5">
        <w:rPr>
          <w:rFonts w:asciiTheme="majorHAnsi" w:hAnsiTheme="majorHAnsi"/>
          <w:i/>
          <w:sz w:val="20"/>
          <w:szCs w:val="20"/>
        </w:rPr>
        <w:t>Not a matter for the CSC but further guidance needs developing.</w:t>
      </w:r>
    </w:p>
    <w:p w14:paraId="1341041F" w14:textId="77777777" w:rsidR="00A616F7" w:rsidRPr="006458F5" w:rsidRDefault="00A616F7" w:rsidP="005451E2">
      <w:pPr>
        <w:pStyle w:val="ListParagraph"/>
        <w:numPr>
          <w:ilvl w:val="0"/>
          <w:numId w:val="14"/>
        </w:numPr>
        <w:spacing w:line="276" w:lineRule="auto"/>
        <w:rPr>
          <w:rFonts w:asciiTheme="majorHAnsi" w:hAnsiTheme="majorHAnsi"/>
          <w:sz w:val="20"/>
          <w:szCs w:val="20"/>
        </w:rPr>
      </w:pPr>
      <w:r w:rsidRPr="006458F5">
        <w:rPr>
          <w:rFonts w:asciiTheme="majorHAnsi" w:hAnsiTheme="majorHAnsi"/>
          <w:b/>
          <w:sz w:val="20"/>
          <w:szCs w:val="20"/>
        </w:rPr>
        <w:t>Meta-analyses of prevalence and risk</w:t>
      </w:r>
      <w:r w:rsidRPr="006458F5">
        <w:rPr>
          <w:rFonts w:asciiTheme="majorHAnsi" w:hAnsiTheme="majorHAnsi"/>
          <w:sz w:val="20"/>
          <w:szCs w:val="20"/>
        </w:rPr>
        <w:t xml:space="preserve"> = </w:t>
      </w:r>
      <w:r w:rsidRPr="006458F5">
        <w:rPr>
          <w:rFonts w:asciiTheme="majorHAnsi" w:hAnsiTheme="majorHAnsi"/>
          <w:i/>
          <w:sz w:val="20"/>
          <w:szCs w:val="20"/>
        </w:rPr>
        <w:t>This is not currently matter for the CSC and will be considered further in Cochrane’s Content Strategy.</w:t>
      </w:r>
    </w:p>
    <w:p w14:paraId="4047C971" w14:textId="77777777" w:rsidR="00A616F7" w:rsidRPr="006458F5" w:rsidRDefault="00A616F7" w:rsidP="005451E2">
      <w:pPr>
        <w:pStyle w:val="ListParagraph"/>
        <w:numPr>
          <w:ilvl w:val="0"/>
          <w:numId w:val="14"/>
        </w:numPr>
        <w:spacing w:line="276" w:lineRule="auto"/>
        <w:rPr>
          <w:rFonts w:asciiTheme="majorHAnsi" w:hAnsiTheme="majorHAnsi"/>
          <w:sz w:val="20"/>
          <w:szCs w:val="20"/>
        </w:rPr>
      </w:pPr>
      <w:r w:rsidRPr="006458F5">
        <w:rPr>
          <w:rFonts w:asciiTheme="majorHAnsi" w:hAnsiTheme="majorHAnsi"/>
          <w:b/>
          <w:sz w:val="20"/>
          <w:szCs w:val="20"/>
        </w:rPr>
        <w:t>Meta-regression</w:t>
      </w:r>
      <w:r w:rsidRPr="006458F5">
        <w:rPr>
          <w:rFonts w:asciiTheme="majorHAnsi" w:hAnsiTheme="majorHAnsi"/>
          <w:sz w:val="20"/>
          <w:szCs w:val="20"/>
        </w:rPr>
        <w:t xml:space="preserve"> = </w:t>
      </w:r>
      <w:r w:rsidRPr="006458F5">
        <w:rPr>
          <w:rFonts w:asciiTheme="majorHAnsi" w:hAnsiTheme="majorHAnsi"/>
          <w:i/>
          <w:sz w:val="20"/>
          <w:szCs w:val="20"/>
        </w:rPr>
        <w:t>This is a matter for the Editorial Board (possibly Governing Board if it impacts on budgets). This is not a matter for the CSC.</w:t>
      </w:r>
    </w:p>
    <w:p w14:paraId="1D07C606" w14:textId="77777777" w:rsidR="00A616F7" w:rsidRPr="006458F5" w:rsidRDefault="00A616F7" w:rsidP="005451E2">
      <w:pPr>
        <w:pStyle w:val="ListParagraph"/>
        <w:numPr>
          <w:ilvl w:val="0"/>
          <w:numId w:val="14"/>
        </w:numPr>
        <w:spacing w:line="276" w:lineRule="auto"/>
        <w:rPr>
          <w:rFonts w:asciiTheme="majorHAnsi" w:hAnsiTheme="majorHAnsi"/>
          <w:sz w:val="20"/>
          <w:szCs w:val="20"/>
        </w:rPr>
      </w:pPr>
      <w:r w:rsidRPr="006458F5">
        <w:rPr>
          <w:rFonts w:asciiTheme="majorHAnsi" w:hAnsiTheme="majorHAnsi"/>
          <w:b/>
          <w:sz w:val="20"/>
          <w:szCs w:val="20"/>
        </w:rPr>
        <w:t>Timely and Reliable Evaluation of the Effects of Interventions: A Framework for Adaptive Meta-analysis (FAME)</w:t>
      </w:r>
      <w:r w:rsidRPr="006458F5">
        <w:rPr>
          <w:rFonts w:asciiTheme="majorHAnsi" w:hAnsiTheme="majorHAnsi"/>
          <w:sz w:val="20"/>
          <w:szCs w:val="20"/>
        </w:rPr>
        <w:t xml:space="preserve"> = </w:t>
      </w:r>
      <w:r w:rsidRPr="006458F5">
        <w:rPr>
          <w:rFonts w:asciiTheme="majorHAnsi" w:hAnsiTheme="majorHAnsi"/>
          <w:i/>
          <w:sz w:val="20"/>
          <w:szCs w:val="20"/>
        </w:rPr>
        <w:t>this was to be incorporated into the Handbook and not a matter for the CSC.</w:t>
      </w:r>
    </w:p>
    <w:p w14:paraId="4E44A314" w14:textId="77777777" w:rsidR="00A616F7" w:rsidRPr="006458F5" w:rsidRDefault="00A616F7" w:rsidP="005451E2">
      <w:pPr>
        <w:pStyle w:val="ListParagraph"/>
        <w:numPr>
          <w:ilvl w:val="0"/>
          <w:numId w:val="14"/>
        </w:numPr>
        <w:spacing w:line="276" w:lineRule="auto"/>
        <w:rPr>
          <w:rFonts w:asciiTheme="majorHAnsi" w:hAnsiTheme="majorHAnsi"/>
          <w:sz w:val="20"/>
          <w:szCs w:val="20"/>
        </w:rPr>
      </w:pPr>
      <w:r w:rsidRPr="006458F5">
        <w:rPr>
          <w:rFonts w:asciiTheme="majorHAnsi" w:hAnsiTheme="majorHAnsi"/>
          <w:b/>
          <w:sz w:val="20"/>
          <w:szCs w:val="20"/>
        </w:rPr>
        <w:t>Determining when meta-analyses of published time-to-event outcomes reliable enough to form robust clinical conclusions. An evidence-based approach</w:t>
      </w:r>
      <w:r w:rsidRPr="006458F5">
        <w:rPr>
          <w:rFonts w:asciiTheme="majorHAnsi" w:hAnsiTheme="majorHAnsi"/>
          <w:sz w:val="20"/>
          <w:szCs w:val="20"/>
        </w:rPr>
        <w:t xml:space="preserve"> = </w:t>
      </w:r>
      <w:r w:rsidRPr="006458F5">
        <w:rPr>
          <w:rFonts w:asciiTheme="majorHAnsi" w:hAnsiTheme="majorHAnsi"/>
          <w:i/>
          <w:sz w:val="20"/>
          <w:szCs w:val="20"/>
        </w:rPr>
        <w:t>this was to be incorporated into the Handbook and not a matter for the CSC.</w:t>
      </w:r>
    </w:p>
    <w:p w14:paraId="3A311A5F" w14:textId="53C5F7FD" w:rsidR="00A616F7" w:rsidRPr="005451E2" w:rsidRDefault="00A616F7" w:rsidP="005451E2">
      <w:pPr>
        <w:pStyle w:val="ListParagraph"/>
        <w:numPr>
          <w:ilvl w:val="0"/>
          <w:numId w:val="14"/>
        </w:numPr>
        <w:spacing w:line="276" w:lineRule="auto"/>
        <w:rPr>
          <w:rFonts w:asciiTheme="majorHAnsi" w:hAnsiTheme="majorHAnsi"/>
          <w:sz w:val="20"/>
          <w:szCs w:val="20"/>
        </w:rPr>
      </w:pPr>
      <w:r w:rsidRPr="006458F5">
        <w:rPr>
          <w:rFonts w:asciiTheme="majorHAnsi" w:hAnsiTheme="majorHAnsi"/>
          <w:b/>
          <w:sz w:val="20"/>
          <w:szCs w:val="20"/>
        </w:rPr>
        <w:t>Data-based predictive distributions for between-study heterogeneity</w:t>
      </w:r>
      <w:r w:rsidRPr="006458F5">
        <w:rPr>
          <w:rFonts w:asciiTheme="majorHAnsi" w:hAnsiTheme="majorHAnsi"/>
          <w:sz w:val="20"/>
          <w:szCs w:val="20"/>
        </w:rPr>
        <w:t xml:space="preserve"> = </w:t>
      </w:r>
      <w:r w:rsidRPr="006458F5">
        <w:rPr>
          <w:rFonts w:asciiTheme="majorHAnsi" w:hAnsiTheme="majorHAnsi"/>
          <w:i/>
          <w:sz w:val="20"/>
          <w:szCs w:val="20"/>
        </w:rPr>
        <w:t>CSC not able to make a decision and requested paper and presentation for future meeting.</w:t>
      </w:r>
    </w:p>
    <w:p w14:paraId="6CC78411" w14:textId="3D22743D" w:rsidR="005451E2" w:rsidRPr="005451E2" w:rsidRDefault="005451E2" w:rsidP="005451E2">
      <w:pPr>
        <w:pStyle w:val="ListParagraph"/>
        <w:spacing w:line="276" w:lineRule="auto"/>
        <w:rPr>
          <w:rFonts w:asciiTheme="majorHAnsi" w:hAnsiTheme="majorHAnsi"/>
          <w:color w:val="FF0000"/>
          <w:sz w:val="20"/>
          <w:szCs w:val="20"/>
        </w:rPr>
      </w:pPr>
      <w:r w:rsidRPr="005451E2">
        <w:rPr>
          <w:color w:val="FF0000"/>
          <w:sz w:val="20"/>
          <w:szCs w:val="20"/>
        </w:rPr>
        <w:t>Decision below.</w:t>
      </w:r>
    </w:p>
    <w:p w14:paraId="12D592A5" w14:textId="77777777" w:rsidR="00A616F7" w:rsidRPr="006458F5" w:rsidRDefault="00A616F7" w:rsidP="005451E2">
      <w:pPr>
        <w:spacing w:line="276" w:lineRule="auto"/>
        <w:rPr>
          <w:rFonts w:asciiTheme="majorHAnsi" w:hAnsiTheme="majorHAnsi"/>
          <w:sz w:val="20"/>
          <w:szCs w:val="20"/>
        </w:rPr>
      </w:pPr>
    </w:p>
    <w:p w14:paraId="6D96106D" w14:textId="51570B5D" w:rsidR="00A616F7" w:rsidRPr="006458F5" w:rsidRDefault="00A616F7" w:rsidP="005451E2">
      <w:pPr>
        <w:spacing w:line="276" w:lineRule="auto"/>
        <w:rPr>
          <w:rFonts w:asciiTheme="majorHAnsi" w:hAnsiTheme="majorHAnsi"/>
          <w:b/>
          <w:sz w:val="20"/>
          <w:szCs w:val="20"/>
          <w:u w:val="single"/>
        </w:rPr>
      </w:pPr>
      <w:r w:rsidRPr="006458F5">
        <w:rPr>
          <w:rFonts w:asciiTheme="majorHAnsi" w:hAnsiTheme="majorHAnsi"/>
          <w:b/>
          <w:sz w:val="20"/>
          <w:szCs w:val="20"/>
          <w:u w:val="single"/>
        </w:rPr>
        <w:t>28 February 2018</w:t>
      </w:r>
    </w:p>
    <w:p w14:paraId="31010582" w14:textId="531271EB" w:rsidR="00A616F7" w:rsidRPr="005451E2" w:rsidRDefault="00A616F7" w:rsidP="005451E2">
      <w:pPr>
        <w:pStyle w:val="ListParagraph"/>
        <w:numPr>
          <w:ilvl w:val="0"/>
          <w:numId w:val="15"/>
        </w:numPr>
        <w:spacing w:line="276" w:lineRule="auto"/>
        <w:rPr>
          <w:rFonts w:asciiTheme="majorHAnsi" w:hAnsiTheme="majorHAnsi"/>
          <w:b/>
          <w:sz w:val="20"/>
          <w:szCs w:val="20"/>
        </w:rPr>
      </w:pPr>
      <w:r w:rsidRPr="006458F5">
        <w:rPr>
          <w:rFonts w:asciiTheme="majorHAnsi" w:hAnsiTheme="majorHAnsi"/>
          <w:b/>
          <w:sz w:val="20"/>
          <w:szCs w:val="20"/>
        </w:rPr>
        <w:t xml:space="preserve">Interim guidance on how to decide whether to include clinical study reports and other regulatory documents into Cochrane Reviews = Optional/advisory - </w:t>
      </w:r>
      <w:r w:rsidRPr="006458F5">
        <w:rPr>
          <w:rFonts w:asciiTheme="majorHAnsi" w:hAnsiTheme="majorHAnsi"/>
          <w:i/>
          <w:iCs/>
          <w:sz w:val="20"/>
          <w:szCs w:val="20"/>
        </w:rPr>
        <w:t>CSC members agreed this data was important in tackling reporting bias. Further development of methods and tools were required that identifies where more evidence is needed as well as where Cochrane should concentrate its energies. The report’s findings were accepted in principle by the committee. However, further consideration of roll out and implementation within the main body of Cochrane required the input of both Governing Board (resources) and Editorial Board (implementation requirements).</w:t>
      </w:r>
    </w:p>
    <w:p w14:paraId="05A927E1" w14:textId="456B9E9B" w:rsidR="005451E2" w:rsidRPr="005451E2" w:rsidRDefault="005451E2" w:rsidP="005451E2">
      <w:pPr>
        <w:pStyle w:val="ListParagraph"/>
        <w:spacing w:line="276" w:lineRule="auto"/>
        <w:rPr>
          <w:rFonts w:asciiTheme="majorHAnsi" w:hAnsiTheme="majorHAnsi"/>
          <w:b/>
          <w:color w:val="FF0000"/>
          <w:sz w:val="20"/>
          <w:szCs w:val="20"/>
        </w:rPr>
      </w:pPr>
      <w:r w:rsidRPr="005451E2">
        <w:rPr>
          <w:color w:val="FF0000"/>
          <w:sz w:val="20"/>
          <w:szCs w:val="20"/>
        </w:rPr>
        <w:t>Now included in the Content Strategy and a priority project for 20119 to assess the feasibility of implementation.</w:t>
      </w:r>
    </w:p>
    <w:p w14:paraId="0F3D12E3" w14:textId="150874EB" w:rsidR="00A616F7" w:rsidRPr="005451E2" w:rsidRDefault="00A616F7" w:rsidP="005451E2">
      <w:pPr>
        <w:pStyle w:val="ListParagraph"/>
        <w:numPr>
          <w:ilvl w:val="0"/>
          <w:numId w:val="15"/>
        </w:numPr>
        <w:spacing w:line="276" w:lineRule="auto"/>
        <w:rPr>
          <w:rFonts w:asciiTheme="majorHAnsi" w:hAnsiTheme="majorHAnsi"/>
          <w:b/>
          <w:sz w:val="20"/>
          <w:szCs w:val="20"/>
        </w:rPr>
      </w:pPr>
      <w:r w:rsidRPr="006458F5">
        <w:rPr>
          <w:rFonts w:asciiTheme="majorHAnsi" w:hAnsiTheme="majorHAnsi"/>
          <w:b/>
          <w:sz w:val="20"/>
          <w:szCs w:val="20"/>
        </w:rPr>
        <w:t xml:space="preserve">Expert panel report on whether using sequential methods to adjust P values is necessary in repeated meta-analyses = Not recommended - </w:t>
      </w:r>
      <w:r w:rsidRPr="006458F5">
        <w:rPr>
          <w:rFonts w:asciiTheme="majorHAnsi" w:hAnsiTheme="majorHAnsi"/>
          <w:i/>
          <w:sz w:val="20"/>
          <w:szCs w:val="20"/>
        </w:rPr>
        <w:t>The CSC concur with the panel’s recommendation that these methods should not be used routinely in Cochrane and that only in specifically justified cases is it reasonable to do so.</w:t>
      </w:r>
    </w:p>
    <w:p w14:paraId="007A204F" w14:textId="68362E5E" w:rsidR="005451E2" w:rsidRPr="005451E2" w:rsidRDefault="005451E2" w:rsidP="005451E2">
      <w:pPr>
        <w:pStyle w:val="ListParagraph"/>
        <w:spacing w:line="276" w:lineRule="auto"/>
        <w:rPr>
          <w:rFonts w:asciiTheme="majorHAnsi" w:hAnsiTheme="majorHAnsi"/>
          <w:b/>
          <w:color w:val="FF0000"/>
          <w:sz w:val="20"/>
          <w:szCs w:val="20"/>
        </w:rPr>
      </w:pPr>
      <w:r w:rsidRPr="005451E2">
        <w:rPr>
          <w:color w:val="FF0000"/>
          <w:sz w:val="20"/>
          <w:szCs w:val="20"/>
        </w:rPr>
        <w:t>Statement posted on Methods Website. No further action.</w:t>
      </w:r>
    </w:p>
    <w:p w14:paraId="350A4CF5" w14:textId="77777777" w:rsidR="00A616F7" w:rsidRPr="006458F5" w:rsidRDefault="00A616F7" w:rsidP="005451E2">
      <w:pPr>
        <w:pStyle w:val="ListParagraph"/>
        <w:spacing w:line="276" w:lineRule="auto"/>
        <w:rPr>
          <w:rFonts w:asciiTheme="majorHAnsi" w:hAnsiTheme="majorHAnsi"/>
          <w:b/>
          <w:sz w:val="20"/>
          <w:szCs w:val="20"/>
        </w:rPr>
      </w:pPr>
    </w:p>
    <w:p w14:paraId="47CF0E06" w14:textId="135BE2B4" w:rsidR="00A616F7" w:rsidRPr="006458F5" w:rsidRDefault="00A616F7" w:rsidP="005451E2">
      <w:pPr>
        <w:spacing w:line="276" w:lineRule="auto"/>
        <w:rPr>
          <w:rFonts w:asciiTheme="majorHAnsi" w:hAnsiTheme="majorHAnsi"/>
          <w:b/>
          <w:sz w:val="20"/>
          <w:szCs w:val="20"/>
          <w:u w:val="single"/>
        </w:rPr>
      </w:pPr>
      <w:r w:rsidRPr="006458F5">
        <w:rPr>
          <w:rFonts w:asciiTheme="majorHAnsi" w:hAnsiTheme="majorHAnsi"/>
          <w:b/>
          <w:sz w:val="20"/>
          <w:szCs w:val="20"/>
          <w:u w:val="single"/>
        </w:rPr>
        <w:t>5 June 2018</w:t>
      </w:r>
    </w:p>
    <w:p w14:paraId="6D59DB1D" w14:textId="6EE949DF" w:rsidR="00A616F7" w:rsidRPr="005451E2" w:rsidRDefault="00A616F7" w:rsidP="005451E2">
      <w:pPr>
        <w:pStyle w:val="ListParagraph"/>
        <w:numPr>
          <w:ilvl w:val="0"/>
          <w:numId w:val="16"/>
        </w:numPr>
        <w:spacing w:line="276" w:lineRule="auto"/>
        <w:rPr>
          <w:rFonts w:asciiTheme="majorHAnsi" w:hAnsiTheme="majorHAnsi"/>
          <w:b/>
          <w:sz w:val="20"/>
          <w:szCs w:val="20"/>
        </w:rPr>
      </w:pPr>
      <w:r w:rsidRPr="006458F5">
        <w:rPr>
          <w:rFonts w:asciiTheme="majorHAnsi" w:hAnsiTheme="majorHAnsi"/>
          <w:b/>
          <w:sz w:val="20"/>
          <w:szCs w:val="20"/>
        </w:rPr>
        <w:t>Data-based predictive distributions for between-study heterogeneity = Optional/advisory -</w:t>
      </w:r>
      <w:r w:rsidRPr="006458F5">
        <w:rPr>
          <w:rFonts w:asciiTheme="majorHAnsi" w:hAnsiTheme="majorHAnsi"/>
          <w:i/>
          <w:sz w:val="20"/>
          <w:szCs w:val="20"/>
        </w:rPr>
        <w:t xml:space="preserve"> The Committee recommends that Cochrane Reviewers are encouraged to add Bayesian meta-analysis alongside the traditional techniques included in </w:t>
      </w:r>
      <w:proofErr w:type="spellStart"/>
      <w:r w:rsidRPr="006458F5">
        <w:rPr>
          <w:rFonts w:asciiTheme="majorHAnsi" w:hAnsiTheme="majorHAnsi"/>
          <w:i/>
          <w:sz w:val="20"/>
          <w:szCs w:val="20"/>
        </w:rPr>
        <w:t>RevMan</w:t>
      </w:r>
      <w:proofErr w:type="spellEnd"/>
      <w:r w:rsidRPr="006458F5">
        <w:rPr>
          <w:rFonts w:asciiTheme="majorHAnsi" w:hAnsiTheme="majorHAnsi"/>
          <w:i/>
          <w:sz w:val="20"/>
          <w:szCs w:val="20"/>
        </w:rPr>
        <w:t xml:space="preserve"> to supplement and improve their review. Particularly where there is a very high or low heterogeneity estimate therefore, in these situations an additional Bayesian analysis will have the greatest impact. This will be included in the new updated Handbook chapter.</w:t>
      </w:r>
    </w:p>
    <w:p w14:paraId="06C3DA90" w14:textId="22A4852E" w:rsidR="005451E2" w:rsidRPr="005451E2" w:rsidRDefault="005451E2" w:rsidP="005451E2">
      <w:pPr>
        <w:pStyle w:val="ListParagraph"/>
        <w:spacing w:line="276" w:lineRule="auto"/>
        <w:rPr>
          <w:rFonts w:asciiTheme="majorHAnsi" w:hAnsiTheme="majorHAnsi"/>
          <w:b/>
          <w:color w:val="FF0000"/>
          <w:sz w:val="20"/>
          <w:szCs w:val="20"/>
        </w:rPr>
      </w:pPr>
      <w:r w:rsidRPr="005451E2">
        <w:rPr>
          <w:color w:val="FF0000"/>
          <w:sz w:val="20"/>
          <w:szCs w:val="20"/>
        </w:rPr>
        <w:t>Statement posted on Methods Website. No further action.</w:t>
      </w:r>
    </w:p>
    <w:p w14:paraId="2B37C6B2" w14:textId="77777777" w:rsidR="00A616F7" w:rsidRPr="006458F5" w:rsidRDefault="00A616F7" w:rsidP="005451E2">
      <w:pPr>
        <w:spacing w:line="276" w:lineRule="auto"/>
        <w:rPr>
          <w:rFonts w:asciiTheme="majorHAnsi" w:hAnsiTheme="majorHAnsi"/>
          <w:b/>
          <w:sz w:val="20"/>
          <w:szCs w:val="20"/>
        </w:rPr>
      </w:pPr>
    </w:p>
    <w:p w14:paraId="15CE6884" w14:textId="77777777" w:rsidR="00A616F7" w:rsidRPr="006458F5" w:rsidRDefault="00A616F7" w:rsidP="005451E2">
      <w:pPr>
        <w:spacing w:line="276" w:lineRule="auto"/>
        <w:rPr>
          <w:rFonts w:asciiTheme="majorHAnsi" w:hAnsiTheme="majorHAnsi"/>
          <w:b/>
          <w:sz w:val="20"/>
          <w:szCs w:val="20"/>
          <w:u w:val="single"/>
        </w:rPr>
      </w:pPr>
      <w:r w:rsidRPr="006458F5">
        <w:rPr>
          <w:rFonts w:asciiTheme="majorHAnsi" w:hAnsiTheme="majorHAnsi"/>
          <w:b/>
          <w:sz w:val="20"/>
          <w:szCs w:val="20"/>
          <w:u w:val="single"/>
        </w:rPr>
        <w:t>8 November 2018</w:t>
      </w:r>
    </w:p>
    <w:p w14:paraId="2A8C5F3B" w14:textId="77777777" w:rsidR="00A616F7" w:rsidRPr="006458F5" w:rsidRDefault="00A616F7" w:rsidP="005451E2">
      <w:pPr>
        <w:spacing w:line="276" w:lineRule="auto"/>
        <w:rPr>
          <w:rFonts w:asciiTheme="majorHAnsi" w:hAnsiTheme="majorHAnsi"/>
          <w:b/>
          <w:sz w:val="20"/>
          <w:szCs w:val="20"/>
          <w:u w:val="single"/>
        </w:rPr>
      </w:pPr>
    </w:p>
    <w:p w14:paraId="662E14A7" w14:textId="77777777" w:rsidR="00A616F7" w:rsidRPr="006458F5" w:rsidRDefault="00A616F7" w:rsidP="005451E2">
      <w:pPr>
        <w:pStyle w:val="ListParagraph"/>
        <w:numPr>
          <w:ilvl w:val="0"/>
          <w:numId w:val="17"/>
        </w:numPr>
        <w:spacing w:line="276" w:lineRule="auto"/>
        <w:rPr>
          <w:rFonts w:asciiTheme="majorHAnsi" w:hAnsiTheme="majorHAnsi"/>
          <w:sz w:val="20"/>
          <w:szCs w:val="20"/>
        </w:rPr>
      </w:pPr>
      <w:r w:rsidRPr="006458F5">
        <w:rPr>
          <w:rFonts w:asciiTheme="majorHAnsi" w:hAnsiTheme="majorHAnsi"/>
          <w:b/>
          <w:sz w:val="20"/>
          <w:szCs w:val="20"/>
        </w:rPr>
        <w:lastRenderedPageBreak/>
        <w:t>Qualitative evidence synthesis as a standalone review = Decision not made by CSC</w:t>
      </w:r>
      <w:r w:rsidRPr="006458F5">
        <w:rPr>
          <w:rFonts w:asciiTheme="majorHAnsi" w:hAnsiTheme="majorHAnsi"/>
          <w:sz w:val="20"/>
          <w:szCs w:val="20"/>
        </w:rPr>
        <w:t xml:space="preserve"> – Editorial Board approved a two-year pilot and following the pilot the CSC and Methods Executive would make a decision on whether standalone QES would be endorsed in Cochrane.</w:t>
      </w:r>
    </w:p>
    <w:p w14:paraId="42DAB7FA" w14:textId="51F98015" w:rsidR="00A616F7" w:rsidRDefault="00A616F7" w:rsidP="005451E2">
      <w:pPr>
        <w:pStyle w:val="ListParagraph"/>
        <w:numPr>
          <w:ilvl w:val="0"/>
          <w:numId w:val="17"/>
        </w:numPr>
        <w:spacing w:line="276" w:lineRule="auto"/>
        <w:rPr>
          <w:rFonts w:asciiTheme="majorHAnsi" w:hAnsiTheme="majorHAnsi"/>
          <w:sz w:val="20"/>
          <w:szCs w:val="20"/>
        </w:rPr>
      </w:pPr>
      <w:r w:rsidRPr="006458F5">
        <w:rPr>
          <w:rFonts w:asciiTheme="majorHAnsi" w:hAnsiTheme="majorHAnsi"/>
          <w:b/>
          <w:sz w:val="20"/>
          <w:szCs w:val="20"/>
        </w:rPr>
        <w:t>Prognosis reviews as standalone review = Decision not made by CSC</w:t>
      </w:r>
      <w:r w:rsidRPr="006458F5">
        <w:rPr>
          <w:rFonts w:asciiTheme="majorHAnsi" w:hAnsiTheme="majorHAnsi"/>
          <w:sz w:val="20"/>
          <w:szCs w:val="20"/>
        </w:rPr>
        <w:t>.</w:t>
      </w:r>
    </w:p>
    <w:p w14:paraId="6BB399EA" w14:textId="6424A29D" w:rsidR="005451E2" w:rsidRPr="005451E2" w:rsidRDefault="005451E2" w:rsidP="005451E2">
      <w:pPr>
        <w:pStyle w:val="ListParagraph"/>
        <w:spacing w:line="276" w:lineRule="auto"/>
        <w:rPr>
          <w:rFonts w:asciiTheme="majorHAnsi" w:hAnsiTheme="majorHAnsi"/>
          <w:color w:val="FF0000"/>
          <w:sz w:val="20"/>
          <w:szCs w:val="20"/>
        </w:rPr>
      </w:pPr>
      <w:r w:rsidRPr="005451E2">
        <w:rPr>
          <w:color w:val="FF0000"/>
          <w:sz w:val="20"/>
          <w:szCs w:val="20"/>
        </w:rPr>
        <w:t>Now a formal review type in the Cochrane Library and Prognosis Methods Group have been overviewing the development and implementation.</w:t>
      </w:r>
    </w:p>
    <w:p w14:paraId="240C3BC1" w14:textId="22946646" w:rsidR="0064750D" w:rsidRDefault="0064750D" w:rsidP="005451E2">
      <w:pPr>
        <w:spacing w:line="276" w:lineRule="auto"/>
        <w:rPr>
          <w:rFonts w:asciiTheme="majorHAnsi" w:hAnsiTheme="majorHAnsi"/>
          <w:sz w:val="20"/>
          <w:szCs w:val="20"/>
        </w:rPr>
      </w:pPr>
    </w:p>
    <w:p w14:paraId="322458AF" w14:textId="35F602DB" w:rsidR="0064750D" w:rsidRPr="0064750D" w:rsidRDefault="0064750D" w:rsidP="005451E2">
      <w:pPr>
        <w:spacing w:line="276" w:lineRule="auto"/>
        <w:rPr>
          <w:rFonts w:asciiTheme="majorHAnsi" w:eastAsia="Times New Roman" w:hAnsiTheme="majorHAnsi"/>
          <w:b/>
          <w:sz w:val="20"/>
          <w:szCs w:val="20"/>
          <w:u w:val="single"/>
        </w:rPr>
      </w:pPr>
      <w:r w:rsidRPr="0064750D">
        <w:rPr>
          <w:rFonts w:asciiTheme="majorHAnsi" w:eastAsia="Times New Roman" w:hAnsiTheme="majorHAnsi"/>
          <w:b/>
          <w:sz w:val="20"/>
          <w:szCs w:val="20"/>
          <w:u w:val="single"/>
        </w:rPr>
        <w:t>31 March 2019</w:t>
      </w:r>
    </w:p>
    <w:p w14:paraId="39D86C11" w14:textId="77777777" w:rsidR="0064750D" w:rsidRDefault="0064750D" w:rsidP="005451E2">
      <w:pPr>
        <w:spacing w:line="276" w:lineRule="auto"/>
        <w:rPr>
          <w:rFonts w:asciiTheme="majorHAnsi" w:eastAsia="Times New Roman" w:hAnsiTheme="majorHAnsi"/>
          <w:sz w:val="20"/>
          <w:szCs w:val="20"/>
        </w:rPr>
      </w:pPr>
    </w:p>
    <w:p w14:paraId="01BAA062" w14:textId="3B725748" w:rsidR="0064750D" w:rsidRPr="0064750D" w:rsidRDefault="0064750D" w:rsidP="0064750D">
      <w:pPr>
        <w:pStyle w:val="ListParagraph"/>
        <w:numPr>
          <w:ilvl w:val="6"/>
          <w:numId w:val="2"/>
        </w:numPr>
        <w:shd w:val="clear" w:color="auto" w:fill="FFFFFF"/>
        <w:textAlignment w:val="baseline"/>
        <w:rPr>
          <w:rFonts w:asciiTheme="majorHAnsi" w:eastAsia="Times New Roman" w:hAnsiTheme="majorHAnsi" w:cs="Lucida Grande"/>
          <w:sz w:val="20"/>
          <w:szCs w:val="20"/>
          <w:lang w:eastAsia="en-GB"/>
        </w:rPr>
      </w:pPr>
      <w:r w:rsidRPr="0064750D">
        <w:rPr>
          <w:rFonts w:asciiTheme="majorHAnsi" w:eastAsia="Times New Roman" w:hAnsiTheme="majorHAnsi" w:cs="Lucida Grande"/>
          <w:b/>
          <w:sz w:val="20"/>
          <w:szCs w:val="20"/>
          <w:lang w:eastAsia="en-GB"/>
        </w:rPr>
        <w:t>Use of interactive analysis framework to facilitate diagnostic test accuracy and network meta-analyses analyses</w:t>
      </w:r>
      <w:r w:rsidRPr="0064750D">
        <w:rPr>
          <w:rFonts w:asciiTheme="majorHAnsi" w:eastAsia="Times New Roman" w:hAnsiTheme="majorHAnsi" w:cs="Lucida Grande"/>
          <w:sz w:val="20"/>
          <w:szCs w:val="20"/>
          <w:lang w:eastAsia="en-GB"/>
        </w:rPr>
        <w:t xml:space="preserve"> (</w:t>
      </w:r>
      <w:r w:rsidRPr="0064750D">
        <w:rPr>
          <w:rFonts w:asciiTheme="majorHAnsi" w:eastAsia="Times New Roman" w:hAnsiTheme="majorHAnsi" w:cs="Lucida Grande"/>
          <w:color w:val="FF0000"/>
          <w:sz w:val="20"/>
          <w:szCs w:val="20"/>
          <w:lang w:eastAsia="en-GB"/>
        </w:rPr>
        <w:t>under evaluation</w:t>
      </w:r>
      <w:r w:rsidRPr="0064750D">
        <w:rPr>
          <w:rFonts w:asciiTheme="majorHAnsi" w:eastAsia="Times New Roman" w:hAnsiTheme="majorHAnsi" w:cs="Lucida Grande"/>
          <w:sz w:val="20"/>
          <w:szCs w:val="20"/>
          <w:lang w:eastAsia="en-GB"/>
        </w:rPr>
        <w:t>)</w:t>
      </w:r>
    </w:p>
    <w:p w14:paraId="45C7ED48" w14:textId="77777777" w:rsidR="00E85C7F" w:rsidRDefault="00E85C7F" w:rsidP="005451E2">
      <w:pPr>
        <w:spacing w:line="276" w:lineRule="auto"/>
        <w:rPr>
          <w:rFonts w:asciiTheme="majorHAnsi" w:eastAsia="Times New Roman" w:hAnsiTheme="majorHAnsi"/>
          <w:sz w:val="20"/>
          <w:szCs w:val="20"/>
        </w:rPr>
      </w:pPr>
    </w:p>
    <w:p w14:paraId="6B4CC912" w14:textId="135BCE00" w:rsidR="0064750D" w:rsidRPr="0064750D" w:rsidRDefault="0064750D" w:rsidP="0064750D">
      <w:pPr>
        <w:spacing w:line="276" w:lineRule="auto"/>
        <w:rPr>
          <w:b/>
          <w:sz w:val="20"/>
          <w:szCs w:val="20"/>
          <w:u w:val="single"/>
        </w:rPr>
      </w:pPr>
      <w:r w:rsidRPr="0064750D">
        <w:rPr>
          <w:b/>
          <w:sz w:val="20"/>
          <w:szCs w:val="20"/>
          <w:u w:val="single"/>
        </w:rPr>
        <w:t>21 June 2019</w:t>
      </w:r>
    </w:p>
    <w:p w14:paraId="7BCA9FD6" w14:textId="77777777" w:rsidR="0064750D" w:rsidRPr="0064750D" w:rsidRDefault="0064750D" w:rsidP="0064750D">
      <w:pPr>
        <w:spacing w:line="276" w:lineRule="auto"/>
        <w:rPr>
          <w:rFonts w:asciiTheme="majorHAnsi" w:hAnsiTheme="majorHAnsi"/>
          <w:sz w:val="20"/>
          <w:szCs w:val="20"/>
        </w:rPr>
      </w:pPr>
    </w:p>
    <w:p w14:paraId="4D812C1A" w14:textId="55F109B6" w:rsidR="0064750D" w:rsidRPr="0064750D" w:rsidRDefault="0064750D" w:rsidP="0064750D">
      <w:pPr>
        <w:pStyle w:val="ListParagraph"/>
        <w:numPr>
          <w:ilvl w:val="0"/>
          <w:numId w:val="27"/>
        </w:numPr>
        <w:spacing w:line="276" w:lineRule="auto"/>
        <w:rPr>
          <w:rFonts w:asciiTheme="majorHAnsi" w:hAnsiTheme="majorHAnsi"/>
          <w:sz w:val="20"/>
          <w:szCs w:val="20"/>
        </w:rPr>
      </w:pPr>
      <w:r w:rsidRPr="0064750D">
        <w:rPr>
          <w:rFonts w:asciiTheme="majorHAnsi" w:hAnsiTheme="majorHAnsi"/>
          <w:b/>
          <w:sz w:val="20"/>
          <w:szCs w:val="20"/>
        </w:rPr>
        <w:t>Use of interactive analysis framework to facilitate diagnostic test accuracy and network meta-analyses analyses</w:t>
      </w:r>
      <w:r w:rsidRPr="0064750D">
        <w:rPr>
          <w:rFonts w:asciiTheme="majorHAnsi" w:hAnsiTheme="majorHAnsi"/>
          <w:sz w:val="20"/>
          <w:szCs w:val="20"/>
        </w:rPr>
        <w:t xml:space="preserve"> (</w:t>
      </w:r>
      <w:r w:rsidRPr="0064750D">
        <w:rPr>
          <w:rFonts w:asciiTheme="majorHAnsi" w:hAnsiTheme="majorHAnsi"/>
          <w:color w:val="FF0000"/>
          <w:sz w:val="20"/>
          <w:szCs w:val="20"/>
        </w:rPr>
        <w:t>under evaluation</w:t>
      </w:r>
      <w:r w:rsidRPr="0064750D">
        <w:rPr>
          <w:rFonts w:asciiTheme="majorHAnsi" w:hAnsiTheme="majorHAnsi"/>
          <w:sz w:val="20"/>
          <w:szCs w:val="20"/>
        </w:rPr>
        <w:t>)</w:t>
      </w:r>
    </w:p>
    <w:p w14:paraId="6A7A1A3D" w14:textId="77777777" w:rsidR="004708C7" w:rsidRPr="006458F5" w:rsidRDefault="004708C7" w:rsidP="006458F5">
      <w:pPr>
        <w:spacing w:line="276" w:lineRule="auto"/>
        <w:rPr>
          <w:b/>
          <w:sz w:val="20"/>
          <w:szCs w:val="20"/>
          <w:u w:val="single"/>
        </w:rPr>
      </w:pPr>
    </w:p>
    <w:p w14:paraId="3D88F32C" w14:textId="77777777" w:rsidR="005078FA" w:rsidRPr="006458F5" w:rsidRDefault="005078FA" w:rsidP="006458F5">
      <w:pPr>
        <w:spacing w:line="276" w:lineRule="auto"/>
        <w:rPr>
          <w:b/>
          <w:sz w:val="20"/>
          <w:szCs w:val="20"/>
          <w:u w:val="single"/>
        </w:rPr>
      </w:pPr>
    </w:p>
    <w:sectPr w:rsidR="005078FA" w:rsidRPr="006458F5" w:rsidSect="004B4510">
      <w:pgSz w:w="16838" w:h="11906" w:orient="landscape" w:code="9"/>
      <w:pgMar w:top="1134" w:right="1134" w:bottom="1134" w:left="1134"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8CFA0" w14:textId="77777777" w:rsidR="00B929BF" w:rsidRDefault="00B929BF" w:rsidP="001440A0">
      <w:r>
        <w:separator/>
      </w:r>
    </w:p>
  </w:endnote>
  <w:endnote w:type="continuationSeparator" w:id="0">
    <w:p w14:paraId="08877E95" w14:textId="77777777" w:rsidR="00B929BF" w:rsidRDefault="00B929BF" w:rsidP="00144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notTrueType/>
    <w:pitch w:val="variable"/>
    <w:sig w:usb0="20000007" w:usb1="00000001" w:usb2="00000000" w:usb3="00000000" w:csb0="00000193" w:csb1="00000000"/>
  </w:font>
  <w:font w:name="Source Sans Pro Semibold">
    <w:panose1 w:val="020B0603030403020204"/>
    <w:charset w:val="00"/>
    <w:family w:val="swiss"/>
    <w:notTrueType/>
    <w:pitch w:val="variable"/>
    <w:sig w:usb0="20000007" w:usb1="00000001" w:usb2="00000000" w:usb3="00000000" w:csb0="00000193"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ourceSansPro-Regular">
    <w:panose1 w:val="020B0503030403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EED31" w14:textId="77777777" w:rsidR="00D50DEF" w:rsidRPr="001440A0" w:rsidRDefault="00D50DEF" w:rsidP="009B47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74BE7" w14:textId="77777777" w:rsidR="00B929BF" w:rsidRDefault="00B929BF" w:rsidP="001440A0">
      <w:r>
        <w:separator/>
      </w:r>
    </w:p>
  </w:footnote>
  <w:footnote w:type="continuationSeparator" w:id="0">
    <w:p w14:paraId="61AAA0B9" w14:textId="77777777" w:rsidR="00B929BF" w:rsidRDefault="00B929BF" w:rsidP="00144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7B6CC" w14:textId="77777777" w:rsidR="00D50DEF" w:rsidRDefault="00D50DEF">
    <w:pPr>
      <w:pStyle w:val="Header"/>
    </w:pPr>
    <w:r>
      <w:rPr>
        <w:rFonts w:asciiTheme="majorHAnsi" w:hAnsiTheme="majorHAnsi"/>
        <w:noProof/>
        <w:color w:val="007CB7" w:themeColor="background2"/>
        <w:sz w:val="36"/>
        <w:szCs w:val="36"/>
        <w:lang w:eastAsia="en-GB"/>
      </w:rPr>
      <w:drawing>
        <wp:inline distT="0" distB="0" distL="0" distR="0" wp14:anchorId="1A85153E" wp14:editId="7E8CBCE4">
          <wp:extent cx="1678841" cy="571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chrane_Methods_Logo_CMYK.png"/>
                  <pic:cNvPicPr/>
                </pic:nvPicPr>
                <pic:blipFill>
                  <a:blip r:embed="rId1">
                    <a:extLst>
                      <a:ext uri="{28A0092B-C50C-407E-A947-70E740481C1C}">
                        <a14:useLocalDpi xmlns:a14="http://schemas.microsoft.com/office/drawing/2010/main" val="0"/>
                      </a:ext>
                    </a:extLst>
                  </a:blip>
                  <a:stretch>
                    <a:fillRect/>
                  </a:stretch>
                </pic:blipFill>
                <pic:spPr>
                  <a:xfrm>
                    <a:off x="0" y="0"/>
                    <a:ext cx="1685305" cy="573700"/>
                  </a:xfrm>
                  <a:prstGeom prst="rect">
                    <a:avLst/>
                  </a:prstGeom>
                </pic:spPr>
              </pic:pic>
            </a:graphicData>
          </a:graphic>
        </wp:inline>
      </w:drawing>
    </w:r>
    <w:r w:rsidRPr="00C660E9">
      <w:rPr>
        <w:rFonts w:asciiTheme="majorHAnsi" w:hAnsiTheme="majorHAnsi"/>
        <w:noProof/>
        <w:color w:val="007CB7" w:themeColor="background2"/>
        <w:sz w:val="36"/>
        <w:szCs w:val="36"/>
        <w:lang w:eastAsia="en-GB"/>
      </w:rPr>
      <mc:AlternateContent>
        <mc:Choice Requires="wps">
          <w:drawing>
            <wp:anchor distT="0" distB="0" distL="114300" distR="114300" simplePos="0" relativeHeight="251657728" behindDoc="0" locked="0" layoutInCell="1" allowOverlap="1" wp14:anchorId="78378111" wp14:editId="045F6E54">
              <wp:simplePos x="0" y="0"/>
              <wp:positionH relativeFrom="page">
                <wp:posOffset>5089525</wp:posOffset>
              </wp:positionH>
              <wp:positionV relativeFrom="page">
                <wp:posOffset>8011795</wp:posOffset>
              </wp:positionV>
              <wp:extent cx="549275" cy="549275"/>
              <wp:effectExtent l="127000" t="127000" r="136525" b="136525"/>
              <wp:wrapThrough wrapText="bothSides">
                <wp:wrapPolygon edited="0">
                  <wp:start x="19855" y="-2442"/>
                  <wp:lineTo x="10586" y="-11535"/>
                  <wp:lineTo x="-1305" y="586"/>
                  <wp:lineTo x="-1829" y="19662"/>
                  <wp:lineTo x="1023" y="22460"/>
                  <wp:lineTo x="1736" y="23159"/>
                  <wp:lineTo x="21498" y="21557"/>
                  <wp:lineTo x="22197" y="20844"/>
                  <wp:lineTo x="22816" y="11656"/>
                  <wp:lineTo x="23420" y="1055"/>
                  <wp:lineTo x="19855" y="-2442"/>
                </wp:wrapPolygon>
              </wp:wrapThrough>
              <wp:docPr id="20" name="Rectangle 8"/>
              <wp:cNvGraphicFramePr/>
              <a:graphic xmlns:a="http://schemas.openxmlformats.org/drawingml/2006/main">
                <a:graphicData uri="http://schemas.microsoft.com/office/word/2010/wordprocessingShape">
                  <wps:wsp>
                    <wps:cNvSpPr/>
                    <wps:spPr>
                      <a:xfrm rot="18932974">
                        <a:off x="0" y="0"/>
                        <a:ext cx="549275" cy="549275"/>
                      </a:xfrm>
                      <a:prstGeom prst="rect">
                        <a:avLst/>
                      </a:prstGeom>
                      <a:solidFill>
                        <a:schemeClr val="bg2"/>
                      </a:solidFill>
                      <a:ln w="317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78BEA6A">
            <v:rect id="Rectangle 8" style="position:absolute;margin-left:400.75pt;margin-top:630.85pt;width:43.25pt;height:43.25pt;rotation:-2913104fd;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7cb7 [3214]" stroked="f" strokeweight=".25pt" w14:anchorId="41E2F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">
              <w10:wrap type="through" anchorx="page" anchory="page"/>
            </v:rect>
          </w:pict>
        </mc:Fallback>
      </mc:AlternateContent>
    </w:r>
    <w:r w:rsidRPr="00C74BE0">
      <w:rPr>
        <w:noProof/>
        <w:color w:val="FFFFFF" w:themeColor="background1"/>
        <w:lang w:eastAsia="en-GB"/>
      </w:rPr>
      <w:drawing>
        <wp:anchor distT="0" distB="0" distL="114300" distR="114300" simplePos="0" relativeHeight="251656704" behindDoc="1" locked="1" layoutInCell="1" allowOverlap="1" wp14:anchorId="5C183773" wp14:editId="281413B1">
          <wp:simplePos x="0" y="0"/>
          <wp:positionH relativeFrom="column">
            <wp:posOffset>3500120</wp:posOffset>
          </wp:positionH>
          <wp:positionV relativeFrom="paragraph">
            <wp:posOffset>-426085</wp:posOffset>
          </wp:positionV>
          <wp:extent cx="3188335" cy="1069149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1.png"/>
                  <pic:cNvPicPr/>
                </pic:nvPicPr>
                <pic:blipFill rotWithShape="1">
                  <a:blip r:embed="rId2" cstate="print">
                    <a:extLst>
                      <a:ext uri="{28A0092B-C50C-407E-A947-70E740481C1C}">
                        <a14:useLocalDpi xmlns:a14="http://schemas.microsoft.com/office/drawing/2010/main" val="0"/>
                      </a:ext>
                    </a:extLst>
                  </a:blip>
                  <a:srcRect t="408" b="408"/>
                  <a:stretch/>
                </pic:blipFill>
                <pic:spPr bwMode="auto">
                  <a:xfrm>
                    <a:off x="0" y="0"/>
                    <a:ext cx="3188335" cy="1069149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E1ED7" w14:textId="4DFCAEC2" w:rsidR="00D50DEF" w:rsidRDefault="00D50DEF" w:rsidP="009B47FC">
    <w:pPr>
      <w:pStyle w:val="Header"/>
      <w:pBdr>
        <w:top w:val="single" w:sz="4" w:space="1" w:color="696969" w:themeColor="accent3"/>
      </w:pBdr>
      <w:tabs>
        <w:tab w:val="clear" w:pos="4513"/>
        <w:tab w:val="clear" w:pos="9026"/>
        <w:tab w:val="right" w:pos="9639"/>
      </w:tabs>
      <w:spacing w:line="200" w:lineRule="exact"/>
      <w:rPr>
        <w:rFonts w:asciiTheme="majorHAnsi" w:hAnsiTheme="majorHAnsi"/>
        <w:b/>
        <w:color w:val="002D64" w:themeColor="text2"/>
        <w:sz w:val="20"/>
        <w:szCs w:val="20"/>
      </w:rPr>
    </w:pPr>
    <w:r>
      <w:rPr>
        <w:rFonts w:asciiTheme="majorHAnsi" w:hAnsiTheme="majorHAnsi"/>
        <w:b/>
        <w:color w:val="002D64" w:themeColor="text2"/>
        <w:sz w:val="20"/>
        <w:szCs w:val="20"/>
      </w:rPr>
      <w:t>Cochrane Scientific Committee Agenda 21 June 2019</w:t>
    </w:r>
  </w:p>
  <w:p w14:paraId="69D1F70B" w14:textId="77777777" w:rsidR="00D50DEF" w:rsidRPr="00604B05" w:rsidRDefault="00D50DEF" w:rsidP="009B47FC">
    <w:pPr>
      <w:pStyle w:val="Header"/>
      <w:pBdr>
        <w:top w:val="single" w:sz="4" w:space="1" w:color="696969" w:themeColor="accent3"/>
      </w:pBdr>
      <w:tabs>
        <w:tab w:val="clear" w:pos="4513"/>
        <w:tab w:val="clear" w:pos="9026"/>
        <w:tab w:val="right" w:pos="9639"/>
      </w:tabs>
      <w:spacing w:line="200" w:lineRule="exact"/>
      <w:rPr>
        <w:rFonts w:asciiTheme="majorHAnsi" w:hAnsiTheme="majorHAnsi"/>
        <w:b/>
        <w:color w:val="002D64" w:themeColor="text2"/>
        <w:sz w:val="20"/>
        <w:szCs w:val="20"/>
      </w:rPr>
    </w:pPr>
    <w:r>
      <w:rPr>
        <w:rFonts w:asciiTheme="majorHAnsi" w:hAnsiTheme="majorHAnsi"/>
        <w:b/>
        <w:color w:val="002D64" w:themeColor="text2"/>
        <w:sz w:val="20"/>
        <w:szCs w:val="20"/>
      </w:rPr>
      <w:t>OPEN ACCESS</w:t>
    </w:r>
    <w:r w:rsidRPr="00604B05">
      <w:rPr>
        <w:rFonts w:asciiTheme="majorHAnsi" w:hAnsiTheme="majorHAnsi"/>
        <w:b/>
        <w:color w:val="002D64" w:themeColor="text2"/>
        <w:sz w:val="20"/>
        <w:szCs w:val="20"/>
      </w:rPr>
      <w:tab/>
    </w:r>
    <w:r w:rsidRPr="00604B05">
      <w:rPr>
        <w:rFonts w:asciiTheme="majorHAnsi" w:hAnsiTheme="majorHAnsi"/>
        <w:b/>
        <w:color w:val="002D64" w:themeColor="text2"/>
        <w:sz w:val="20"/>
        <w:szCs w:val="20"/>
      </w:rPr>
      <w:fldChar w:fldCharType="begin"/>
    </w:r>
    <w:r w:rsidRPr="00604B05">
      <w:rPr>
        <w:rFonts w:asciiTheme="majorHAnsi" w:hAnsiTheme="majorHAnsi"/>
        <w:b/>
        <w:color w:val="002D64" w:themeColor="text2"/>
        <w:sz w:val="20"/>
        <w:szCs w:val="20"/>
      </w:rPr>
      <w:instrText xml:space="preserve"> PAGE   \* MERGEFORMAT </w:instrText>
    </w:r>
    <w:r w:rsidRPr="00604B05">
      <w:rPr>
        <w:rFonts w:asciiTheme="majorHAnsi" w:hAnsiTheme="majorHAnsi"/>
        <w:b/>
        <w:color w:val="002D64" w:themeColor="text2"/>
        <w:sz w:val="20"/>
        <w:szCs w:val="20"/>
      </w:rPr>
      <w:fldChar w:fldCharType="separate"/>
    </w:r>
    <w:r>
      <w:rPr>
        <w:rFonts w:asciiTheme="majorHAnsi" w:hAnsiTheme="majorHAnsi"/>
        <w:b/>
        <w:noProof/>
        <w:color w:val="002D64" w:themeColor="text2"/>
        <w:sz w:val="20"/>
        <w:szCs w:val="20"/>
      </w:rPr>
      <w:t>3</w:t>
    </w:r>
    <w:r w:rsidRPr="00604B05">
      <w:rPr>
        <w:rFonts w:asciiTheme="majorHAnsi" w:hAnsiTheme="majorHAnsi"/>
        <w:b/>
        <w:noProof/>
        <w:color w:val="002D64" w:themeColor="text2"/>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3B06"/>
    <w:multiLevelType w:val="multilevel"/>
    <w:tmpl w:val="0A9E97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380F19"/>
    <w:multiLevelType w:val="hybridMultilevel"/>
    <w:tmpl w:val="E9A4D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A5403"/>
    <w:multiLevelType w:val="hybridMultilevel"/>
    <w:tmpl w:val="517673B6"/>
    <w:lvl w:ilvl="0" w:tplc="97EA65E8">
      <w:start w:val="1"/>
      <w:numFmt w:val="bullet"/>
      <w:pStyle w:val="Bullet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8D6C5A"/>
    <w:multiLevelType w:val="hybridMultilevel"/>
    <w:tmpl w:val="52D67340"/>
    <w:lvl w:ilvl="0" w:tplc="713A2DE6">
      <w:start w:val="2019"/>
      <w:numFmt w:val="bullet"/>
      <w:lvlText w:val="-"/>
      <w:lvlJc w:val="left"/>
      <w:pPr>
        <w:ind w:left="720" w:hanging="360"/>
      </w:pPr>
      <w:rPr>
        <w:rFonts w:ascii="Source Sans Pro" w:eastAsiaTheme="minorHAnsi" w:hAnsi="Source Sans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6222C4"/>
    <w:multiLevelType w:val="hybridMultilevel"/>
    <w:tmpl w:val="D66A38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0E0D7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502"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9237E75"/>
    <w:multiLevelType w:val="hybridMultilevel"/>
    <w:tmpl w:val="A8C41B10"/>
    <w:lvl w:ilvl="0" w:tplc="D4C05B2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0E15EF"/>
    <w:multiLevelType w:val="hybridMultilevel"/>
    <w:tmpl w:val="148C93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A63A09"/>
    <w:multiLevelType w:val="hybridMultilevel"/>
    <w:tmpl w:val="303E18FA"/>
    <w:lvl w:ilvl="0" w:tplc="ADA0662A">
      <w:start w:val="1"/>
      <w:numFmt w:val="decimal"/>
      <w:lvlText w:val="%1."/>
      <w:lvlJc w:val="left"/>
      <w:pPr>
        <w:ind w:left="720" w:hanging="360"/>
      </w:pPr>
      <w:rPr>
        <w:rFonts w:asciiTheme="majorHAnsi" w:eastAsia="Times New Roman" w:hAnsiTheme="majorHAnsi" w:cs="Calibr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D84E43"/>
    <w:multiLevelType w:val="hybridMultilevel"/>
    <w:tmpl w:val="722EA7C6"/>
    <w:lvl w:ilvl="0" w:tplc="713A2DE6">
      <w:start w:val="2019"/>
      <w:numFmt w:val="bullet"/>
      <w:lvlText w:val="-"/>
      <w:lvlJc w:val="left"/>
      <w:pPr>
        <w:ind w:left="720" w:hanging="360"/>
      </w:pPr>
      <w:rPr>
        <w:rFonts w:ascii="Source Sans Pro" w:eastAsiaTheme="minorHAnsi" w:hAnsi="Source Sans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14387D"/>
    <w:multiLevelType w:val="hybridMultilevel"/>
    <w:tmpl w:val="52A60A4A"/>
    <w:lvl w:ilvl="0" w:tplc="2520A5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7366F3"/>
    <w:multiLevelType w:val="hybridMultilevel"/>
    <w:tmpl w:val="4EB6EAA6"/>
    <w:lvl w:ilvl="0" w:tplc="50286CE0">
      <w:start w:val="3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3D39EC"/>
    <w:multiLevelType w:val="hybridMultilevel"/>
    <w:tmpl w:val="905EE462"/>
    <w:lvl w:ilvl="0" w:tplc="2520A5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C210B3"/>
    <w:multiLevelType w:val="multilevel"/>
    <w:tmpl w:val="97B225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2B3BB7"/>
    <w:multiLevelType w:val="hybridMultilevel"/>
    <w:tmpl w:val="2722C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365C6A"/>
    <w:multiLevelType w:val="hybridMultilevel"/>
    <w:tmpl w:val="A1444748"/>
    <w:lvl w:ilvl="0" w:tplc="2520A5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A32294"/>
    <w:multiLevelType w:val="hybridMultilevel"/>
    <w:tmpl w:val="178EE264"/>
    <w:lvl w:ilvl="0" w:tplc="CA4662A0">
      <w:start w:val="3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B53B2F"/>
    <w:multiLevelType w:val="hybridMultilevel"/>
    <w:tmpl w:val="E23490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53244C8"/>
    <w:multiLevelType w:val="hybridMultilevel"/>
    <w:tmpl w:val="CB0AFD14"/>
    <w:lvl w:ilvl="0" w:tplc="2520A5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457AEE"/>
    <w:multiLevelType w:val="hybridMultilevel"/>
    <w:tmpl w:val="1E6686EA"/>
    <w:lvl w:ilvl="0" w:tplc="2580081A">
      <w:start w:val="1"/>
      <w:numFmt w:val="decimal"/>
      <w:lvlText w:val="%1."/>
      <w:lvlJc w:val="left"/>
      <w:pPr>
        <w:ind w:left="720" w:hanging="360"/>
      </w:pPr>
      <w:rPr>
        <w:color w:val="002D64"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4A5355"/>
    <w:multiLevelType w:val="hybridMultilevel"/>
    <w:tmpl w:val="19146862"/>
    <w:lvl w:ilvl="0" w:tplc="2520A5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8818C9"/>
    <w:multiLevelType w:val="hybridMultilevel"/>
    <w:tmpl w:val="061A62DA"/>
    <w:lvl w:ilvl="0" w:tplc="23AE1F7E">
      <w:start w:val="1"/>
      <w:numFmt w:val="bullet"/>
      <w:lvlText w:val="-"/>
      <w:lvlJc w:val="left"/>
      <w:pPr>
        <w:ind w:left="720" w:hanging="360"/>
      </w:pPr>
      <w:rPr>
        <w:rFonts w:ascii="Source Sans Pro Semibold" w:eastAsiaTheme="minorHAnsi" w:hAnsi="Source Sans Pro Semibol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D32925"/>
    <w:multiLevelType w:val="hybridMultilevel"/>
    <w:tmpl w:val="A87070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79468D"/>
    <w:multiLevelType w:val="hybridMultilevel"/>
    <w:tmpl w:val="97BEC734"/>
    <w:lvl w:ilvl="0" w:tplc="23AE1F7E">
      <w:start w:val="1"/>
      <w:numFmt w:val="bullet"/>
      <w:lvlText w:val="-"/>
      <w:lvlJc w:val="left"/>
      <w:pPr>
        <w:ind w:left="720" w:hanging="360"/>
      </w:pPr>
      <w:rPr>
        <w:rFonts w:ascii="Source Sans Pro Semibold" w:eastAsiaTheme="minorHAnsi" w:hAnsi="Source Sans Pro Semibold"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F87D57"/>
    <w:multiLevelType w:val="hybridMultilevel"/>
    <w:tmpl w:val="8FE611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CA766E"/>
    <w:multiLevelType w:val="multilevel"/>
    <w:tmpl w:val="504E46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5BE6DA7"/>
    <w:multiLevelType w:val="multilevel"/>
    <w:tmpl w:val="F0CA11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66E5195"/>
    <w:multiLevelType w:val="multilevel"/>
    <w:tmpl w:val="EDD0DE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A3D72EE"/>
    <w:multiLevelType w:val="hybridMultilevel"/>
    <w:tmpl w:val="86108B4A"/>
    <w:lvl w:ilvl="0" w:tplc="2404224E">
      <w:start w:val="31"/>
      <w:numFmt w:val="bullet"/>
      <w:lvlText w:val="-"/>
      <w:lvlJc w:val="left"/>
      <w:pPr>
        <w:ind w:left="720" w:hanging="360"/>
      </w:pPr>
      <w:rPr>
        <w:rFonts w:ascii="Source Sans Pro Semibold" w:eastAsiaTheme="minorHAnsi" w:hAnsi="Source Sans Pro Semibold"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6F0684"/>
    <w:multiLevelType w:val="hybridMultilevel"/>
    <w:tmpl w:val="BCF6DD32"/>
    <w:lvl w:ilvl="0" w:tplc="55FC119A">
      <w:start w:val="21"/>
      <w:numFmt w:val="decimal"/>
      <w:lvlText w:val="%1"/>
      <w:lvlJc w:val="left"/>
      <w:pPr>
        <w:ind w:left="720" w:hanging="360"/>
      </w:pPr>
      <w:rPr>
        <w:rFonts w:asciiTheme="majorHAnsi" w:eastAsia="Times New Roman" w:hAnsiTheme="maj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D664EA"/>
    <w:multiLevelType w:val="hybridMultilevel"/>
    <w:tmpl w:val="C942A278"/>
    <w:lvl w:ilvl="0" w:tplc="657E1144">
      <w:numFmt w:val="bullet"/>
      <w:lvlText w:val="-"/>
      <w:lvlJc w:val="left"/>
      <w:pPr>
        <w:ind w:left="720" w:hanging="360"/>
      </w:pPr>
      <w:rPr>
        <w:rFonts w:ascii="Source Sans Pro" w:eastAsia="Times New Roman" w:hAnsi="Source Sans Pro"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2971A0"/>
    <w:multiLevelType w:val="multilevel"/>
    <w:tmpl w:val="D0F4A8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B567D8"/>
    <w:multiLevelType w:val="hybridMultilevel"/>
    <w:tmpl w:val="39888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E4273C"/>
    <w:multiLevelType w:val="multilevel"/>
    <w:tmpl w:val="C4B6F7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24"/>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7"/>
  </w:num>
  <w:num w:numId="8">
    <w:abstractNumId w:val="25"/>
  </w:num>
  <w:num w:numId="9">
    <w:abstractNumId w:val="2"/>
  </w:num>
  <w:num w:numId="10">
    <w:abstractNumId w:val="32"/>
  </w:num>
  <w:num w:numId="11">
    <w:abstractNumId w:val="3"/>
  </w:num>
  <w:num w:numId="12">
    <w:abstractNumId w:val="14"/>
  </w:num>
  <w:num w:numId="13">
    <w:abstractNumId w:val="12"/>
  </w:num>
  <w:num w:numId="14">
    <w:abstractNumId w:val="18"/>
  </w:num>
  <w:num w:numId="15">
    <w:abstractNumId w:val="20"/>
  </w:num>
  <w:num w:numId="16">
    <w:abstractNumId w:val="15"/>
  </w:num>
  <w:num w:numId="17">
    <w:abstractNumId w:val="10"/>
  </w:num>
  <w:num w:numId="18">
    <w:abstractNumId w:val="1"/>
  </w:num>
  <w:num w:numId="19">
    <w:abstractNumId w:val="9"/>
  </w:num>
  <w:num w:numId="20">
    <w:abstractNumId w:val="8"/>
  </w:num>
  <w:num w:numId="21">
    <w:abstractNumId w:val="30"/>
  </w:num>
  <w:num w:numId="22">
    <w:abstractNumId w:val="11"/>
  </w:num>
  <w:num w:numId="23">
    <w:abstractNumId w:val="16"/>
  </w:num>
  <w:num w:numId="24">
    <w:abstractNumId w:val="22"/>
  </w:num>
  <w:num w:numId="25">
    <w:abstractNumId w:val="29"/>
  </w:num>
  <w:num w:numId="26">
    <w:abstractNumId w:val="6"/>
  </w:num>
  <w:num w:numId="27">
    <w:abstractNumId w:val="7"/>
  </w:num>
  <w:num w:numId="28">
    <w:abstractNumId w:val="0"/>
  </w:num>
  <w:num w:numId="29">
    <w:abstractNumId w:val="31"/>
  </w:num>
  <w:num w:numId="30">
    <w:abstractNumId w:val="33"/>
  </w:num>
  <w:num w:numId="31">
    <w:abstractNumId w:val="26"/>
  </w:num>
  <w:num w:numId="32">
    <w:abstractNumId w:val="27"/>
  </w:num>
  <w:num w:numId="33">
    <w:abstractNumId w:val="13"/>
  </w:num>
  <w:num w:numId="34">
    <w:abstractNumId w:val="23"/>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663"/>
    <w:rsid w:val="0002721B"/>
    <w:rsid w:val="00031A9B"/>
    <w:rsid w:val="00036F7F"/>
    <w:rsid w:val="000421BE"/>
    <w:rsid w:val="00042B67"/>
    <w:rsid w:val="00071E86"/>
    <w:rsid w:val="00082D2F"/>
    <w:rsid w:val="000A324D"/>
    <w:rsid w:val="000B0AD3"/>
    <w:rsid w:val="000C2C55"/>
    <w:rsid w:val="000E1946"/>
    <w:rsid w:val="00103AD6"/>
    <w:rsid w:val="0011685D"/>
    <w:rsid w:val="00135793"/>
    <w:rsid w:val="001440A0"/>
    <w:rsid w:val="00157F92"/>
    <w:rsid w:val="001656DA"/>
    <w:rsid w:val="00172BE3"/>
    <w:rsid w:val="001A6C76"/>
    <w:rsid w:val="001B5F82"/>
    <w:rsid w:val="001C5899"/>
    <w:rsid w:val="001D0F76"/>
    <w:rsid w:val="001D536E"/>
    <w:rsid w:val="001E3F92"/>
    <w:rsid w:val="001E49F8"/>
    <w:rsid w:val="001E7663"/>
    <w:rsid w:val="00215682"/>
    <w:rsid w:val="00220960"/>
    <w:rsid w:val="00241D85"/>
    <w:rsid w:val="00246B15"/>
    <w:rsid w:val="00262640"/>
    <w:rsid w:val="00267923"/>
    <w:rsid w:val="002829BF"/>
    <w:rsid w:val="002C00B0"/>
    <w:rsid w:val="002C1014"/>
    <w:rsid w:val="002C136B"/>
    <w:rsid w:val="002D7294"/>
    <w:rsid w:val="002D784B"/>
    <w:rsid w:val="002E6177"/>
    <w:rsid w:val="003047B4"/>
    <w:rsid w:val="0031760C"/>
    <w:rsid w:val="00333E72"/>
    <w:rsid w:val="00356C5D"/>
    <w:rsid w:val="00363409"/>
    <w:rsid w:val="00363464"/>
    <w:rsid w:val="00370F29"/>
    <w:rsid w:val="003C0907"/>
    <w:rsid w:val="003F64BE"/>
    <w:rsid w:val="00402D92"/>
    <w:rsid w:val="0043327A"/>
    <w:rsid w:val="00440FE9"/>
    <w:rsid w:val="004636F4"/>
    <w:rsid w:val="004708C7"/>
    <w:rsid w:val="00475A20"/>
    <w:rsid w:val="00493824"/>
    <w:rsid w:val="004A51CE"/>
    <w:rsid w:val="004B02F9"/>
    <w:rsid w:val="004B3927"/>
    <w:rsid w:val="004B4510"/>
    <w:rsid w:val="004B7A27"/>
    <w:rsid w:val="004D3305"/>
    <w:rsid w:val="004F4C9A"/>
    <w:rsid w:val="004F69A2"/>
    <w:rsid w:val="004F7482"/>
    <w:rsid w:val="005078FA"/>
    <w:rsid w:val="00511BE7"/>
    <w:rsid w:val="005451E2"/>
    <w:rsid w:val="0054798C"/>
    <w:rsid w:val="0055510C"/>
    <w:rsid w:val="0057319A"/>
    <w:rsid w:val="00585758"/>
    <w:rsid w:val="00586917"/>
    <w:rsid w:val="00590542"/>
    <w:rsid w:val="005B5795"/>
    <w:rsid w:val="005B7D47"/>
    <w:rsid w:val="005C3E56"/>
    <w:rsid w:val="005C519D"/>
    <w:rsid w:val="005D10BF"/>
    <w:rsid w:val="005E4D04"/>
    <w:rsid w:val="00604B05"/>
    <w:rsid w:val="0060645A"/>
    <w:rsid w:val="00634DE2"/>
    <w:rsid w:val="00643872"/>
    <w:rsid w:val="006458F5"/>
    <w:rsid w:val="00646B9B"/>
    <w:rsid w:val="0064750D"/>
    <w:rsid w:val="006558C9"/>
    <w:rsid w:val="00664EF6"/>
    <w:rsid w:val="00687113"/>
    <w:rsid w:val="006B59E2"/>
    <w:rsid w:val="006D763E"/>
    <w:rsid w:val="006E1897"/>
    <w:rsid w:val="006F11BC"/>
    <w:rsid w:val="006F53B7"/>
    <w:rsid w:val="006F59CF"/>
    <w:rsid w:val="00731780"/>
    <w:rsid w:val="00746BC0"/>
    <w:rsid w:val="00746C8B"/>
    <w:rsid w:val="007709BB"/>
    <w:rsid w:val="007733FD"/>
    <w:rsid w:val="007B1228"/>
    <w:rsid w:val="007B66AC"/>
    <w:rsid w:val="007F5BC6"/>
    <w:rsid w:val="00815259"/>
    <w:rsid w:val="008233F0"/>
    <w:rsid w:val="00823778"/>
    <w:rsid w:val="0084060E"/>
    <w:rsid w:val="00841B40"/>
    <w:rsid w:val="0086019D"/>
    <w:rsid w:val="00863C17"/>
    <w:rsid w:val="00864BFB"/>
    <w:rsid w:val="00871B87"/>
    <w:rsid w:val="00874B2B"/>
    <w:rsid w:val="008851A2"/>
    <w:rsid w:val="00895B1D"/>
    <w:rsid w:val="008A45C2"/>
    <w:rsid w:val="008D6709"/>
    <w:rsid w:val="008E5102"/>
    <w:rsid w:val="008F39A5"/>
    <w:rsid w:val="00903785"/>
    <w:rsid w:val="00915FAA"/>
    <w:rsid w:val="0092469F"/>
    <w:rsid w:val="009918EC"/>
    <w:rsid w:val="009A248F"/>
    <w:rsid w:val="009B47FC"/>
    <w:rsid w:val="009B63F9"/>
    <w:rsid w:val="009D2BA1"/>
    <w:rsid w:val="009E662E"/>
    <w:rsid w:val="00A10713"/>
    <w:rsid w:val="00A37807"/>
    <w:rsid w:val="00A426CB"/>
    <w:rsid w:val="00A47986"/>
    <w:rsid w:val="00A616F7"/>
    <w:rsid w:val="00A6738A"/>
    <w:rsid w:val="00A67B13"/>
    <w:rsid w:val="00A75E78"/>
    <w:rsid w:val="00A83A2B"/>
    <w:rsid w:val="00A95B8B"/>
    <w:rsid w:val="00AC0B3E"/>
    <w:rsid w:val="00B24269"/>
    <w:rsid w:val="00B51BB0"/>
    <w:rsid w:val="00B53E60"/>
    <w:rsid w:val="00B54082"/>
    <w:rsid w:val="00B619B8"/>
    <w:rsid w:val="00B77171"/>
    <w:rsid w:val="00B929BF"/>
    <w:rsid w:val="00B945C2"/>
    <w:rsid w:val="00B95B40"/>
    <w:rsid w:val="00BB0359"/>
    <w:rsid w:val="00BB6CA1"/>
    <w:rsid w:val="00BC19C9"/>
    <w:rsid w:val="00BC44D9"/>
    <w:rsid w:val="00BD1C4C"/>
    <w:rsid w:val="00BE5E71"/>
    <w:rsid w:val="00BE6C07"/>
    <w:rsid w:val="00BE7487"/>
    <w:rsid w:val="00BF54B4"/>
    <w:rsid w:val="00C334A0"/>
    <w:rsid w:val="00C340E0"/>
    <w:rsid w:val="00C3410F"/>
    <w:rsid w:val="00C62D86"/>
    <w:rsid w:val="00C660E9"/>
    <w:rsid w:val="00C74BE0"/>
    <w:rsid w:val="00C7570E"/>
    <w:rsid w:val="00C9026B"/>
    <w:rsid w:val="00C97601"/>
    <w:rsid w:val="00CA4E8D"/>
    <w:rsid w:val="00CB6F18"/>
    <w:rsid w:val="00CC6EA5"/>
    <w:rsid w:val="00CC7A48"/>
    <w:rsid w:val="00D130CD"/>
    <w:rsid w:val="00D17963"/>
    <w:rsid w:val="00D25552"/>
    <w:rsid w:val="00D50DEF"/>
    <w:rsid w:val="00D709E7"/>
    <w:rsid w:val="00D74846"/>
    <w:rsid w:val="00D81DAD"/>
    <w:rsid w:val="00DA2ECD"/>
    <w:rsid w:val="00DA321F"/>
    <w:rsid w:val="00DA4A21"/>
    <w:rsid w:val="00E3239D"/>
    <w:rsid w:val="00E34BA3"/>
    <w:rsid w:val="00E63D1F"/>
    <w:rsid w:val="00E72D30"/>
    <w:rsid w:val="00E80700"/>
    <w:rsid w:val="00E85C7F"/>
    <w:rsid w:val="00EB0438"/>
    <w:rsid w:val="00EC408A"/>
    <w:rsid w:val="00EE5D1D"/>
    <w:rsid w:val="00EF3F8C"/>
    <w:rsid w:val="00EF62AB"/>
    <w:rsid w:val="00F04F30"/>
    <w:rsid w:val="00F206BB"/>
    <w:rsid w:val="00F32BF0"/>
    <w:rsid w:val="00F336F2"/>
    <w:rsid w:val="00F42DB4"/>
    <w:rsid w:val="00F70157"/>
    <w:rsid w:val="00F72626"/>
    <w:rsid w:val="00F85083"/>
    <w:rsid w:val="00FB59AA"/>
    <w:rsid w:val="00FB6098"/>
    <w:rsid w:val="00FB65E7"/>
    <w:rsid w:val="00FC389E"/>
    <w:rsid w:val="00FC3983"/>
    <w:rsid w:val="00FE1DC1"/>
    <w:rsid w:val="603234B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A73CC1"/>
  <w15:docId w15:val="{D74B9811-CFBC-4D59-BAFD-7B21B184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511BE7"/>
    <w:pPr>
      <w:spacing w:after="0" w:line="240" w:lineRule="auto"/>
    </w:pPr>
  </w:style>
  <w:style w:type="paragraph" w:styleId="Heading1">
    <w:name w:val="heading 1"/>
    <w:basedOn w:val="Normal"/>
    <w:next w:val="Normal"/>
    <w:link w:val="Heading1Char"/>
    <w:qFormat/>
    <w:rsid w:val="009B47FC"/>
    <w:pPr>
      <w:spacing w:after="454" w:line="620" w:lineRule="exact"/>
      <w:outlineLvl w:val="0"/>
    </w:pPr>
    <w:rPr>
      <w:rFonts w:asciiTheme="majorHAnsi" w:hAnsiTheme="majorHAnsi"/>
      <w:color w:val="007CB7" w:themeColor="background2"/>
      <w:spacing w:val="-6"/>
      <w:sz w:val="60"/>
      <w:szCs w:val="60"/>
    </w:rPr>
  </w:style>
  <w:style w:type="paragraph" w:styleId="Heading2">
    <w:name w:val="heading 2"/>
    <w:basedOn w:val="BodyText"/>
    <w:next w:val="Normal"/>
    <w:link w:val="Heading2Char"/>
    <w:uiPriority w:val="9"/>
    <w:semiHidden/>
    <w:qFormat/>
    <w:rsid w:val="009B47FC"/>
    <w:pPr>
      <w:spacing w:before="113" w:after="0"/>
      <w:outlineLvl w:val="1"/>
    </w:pPr>
    <w:rPr>
      <w:b/>
      <w:color w:val="002D64" w:themeColor="text2"/>
    </w:rPr>
  </w:style>
  <w:style w:type="paragraph" w:styleId="Heading3">
    <w:name w:val="heading 3"/>
    <w:basedOn w:val="Normal"/>
    <w:next w:val="Normal"/>
    <w:link w:val="Heading3Char"/>
    <w:uiPriority w:val="9"/>
    <w:semiHidden/>
    <w:qFormat/>
    <w:rsid w:val="00511BE7"/>
    <w:pPr>
      <w:keepNext/>
      <w:keepLines/>
      <w:spacing w:before="200"/>
      <w:outlineLvl w:val="2"/>
    </w:pPr>
    <w:rPr>
      <w:rFonts w:asciiTheme="majorHAnsi" w:eastAsiaTheme="majorEastAsia" w:hAnsiTheme="majorHAnsi" w:cstheme="majorBidi"/>
      <w:b/>
      <w:bCs/>
      <w:color w:val="002D6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40A0"/>
    <w:pPr>
      <w:tabs>
        <w:tab w:val="center" w:pos="4513"/>
        <w:tab w:val="right" w:pos="9026"/>
      </w:tabs>
    </w:pPr>
  </w:style>
  <w:style w:type="character" w:customStyle="1" w:styleId="HeaderChar">
    <w:name w:val="Header Char"/>
    <w:basedOn w:val="DefaultParagraphFont"/>
    <w:link w:val="Header"/>
    <w:uiPriority w:val="99"/>
    <w:rsid w:val="001440A0"/>
  </w:style>
  <w:style w:type="paragraph" w:styleId="Footer">
    <w:name w:val="footer"/>
    <w:basedOn w:val="Normal"/>
    <w:link w:val="FooterChar"/>
    <w:uiPriority w:val="99"/>
    <w:rsid w:val="001440A0"/>
    <w:pPr>
      <w:tabs>
        <w:tab w:val="center" w:pos="4513"/>
        <w:tab w:val="right" w:pos="9026"/>
      </w:tabs>
    </w:pPr>
  </w:style>
  <w:style w:type="character" w:customStyle="1" w:styleId="FooterChar">
    <w:name w:val="Footer Char"/>
    <w:basedOn w:val="DefaultParagraphFont"/>
    <w:link w:val="Footer"/>
    <w:uiPriority w:val="99"/>
    <w:rsid w:val="001440A0"/>
  </w:style>
  <w:style w:type="paragraph" w:styleId="BalloonText">
    <w:name w:val="Balloon Text"/>
    <w:basedOn w:val="Normal"/>
    <w:link w:val="BalloonTextChar"/>
    <w:uiPriority w:val="99"/>
    <w:semiHidden/>
    <w:unhideWhenUsed/>
    <w:rsid w:val="001440A0"/>
    <w:rPr>
      <w:rFonts w:ascii="Tahoma" w:hAnsi="Tahoma" w:cs="Tahoma"/>
      <w:sz w:val="16"/>
      <w:szCs w:val="16"/>
    </w:rPr>
  </w:style>
  <w:style w:type="character" w:customStyle="1" w:styleId="BalloonTextChar">
    <w:name w:val="Balloon Text Char"/>
    <w:basedOn w:val="DefaultParagraphFont"/>
    <w:link w:val="BalloonText"/>
    <w:uiPriority w:val="99"/>
    <w:semiHidden/>
    <w:rsid w:val="001440A0"/>
    <w:rPr>
      <w:rFonts w:ascii="Tahoma" w:hAnsi="Tahoma" w:cs="Tahoma"/>
      <w:sz w:val="16"/>
      <w:szCs w:val="16"/>
    </w:rPr>
  </w:style>
  <w:style w:type="paragraph" w:styleId="Title">
    <w:name w:val="Title"/>
    <w:basedOn w:val="Normal"/>
    <w:next w:val="Normal"/>
    <w:link w:val="TitleChar"/>
    <w:uiPriority w:val="10"/>
    <w:qFormat/>
    <w:rsid w:val="00871B87"/>
    <w:pPr>
      <w:spacing w:after="57" w:line="560" w:lineRule="exact"/>
      <w:ind w:right="5159"/>
    </w:pPr>
    <w:rPr>
      <w:rFonts w:asciiTheme="majorHAnsi" w:hAnsiTheme="majorHAnsi"/>
      <w:b/>
      <w:color w:val="002D64" w:themeColor="text2"/>
      <w:sz w:val="48"/>
      <w:szCs w:val="48"/>
    </w:rPr>
  </w:style>
  <w:style w:type="character" w:customStyle="1" w:styleId="TitleChar">
    <w:name w:val="Title Char"/>
    <w:basedOn w:val="DefaultParagraphFont"/>
    <w:link w:val="Title"/>
    <w:uiPriority w:val="10"/>
    <w:rsid w:val="00871B87"/>
    <w:rPr>
      <w:rFonts w:asciiTheme="majorHAnsi" w:hAnsiTheme="majorHAnsi"/>
      <w:b/>
      <w:color w:val="002D64" w:themeColor="text2"/>
      <w:sz w:val="48"/>
      <w:szCs w:val="48"/>
    </w:rPr>
  </w:style>
  <w:style w:type="paragraph" w:styleId="Subtitle">
    <w:name w:val="Subtitle"/>
    <w:basedOn w:val="Normal"/>
    <w:next w:val="Normal"/>
    <w:link w:val="SubtitleChar"/>
    <w:uiPriority w:val="11"/>
    <w:qFormat/>
    <w:rsid w:val="00871B87"/>
    <w:pPr>
      <w:spacing w:line="420" w:lineRule="exact"/>
      <w:ind w:right="5160"/>
    </w:pPr>
    <w:rPr>
      <w:rFonts w:asciiTheme="majorHAnsi" w:hAnsiTheme="majorHAnsi"/>
      <w:color w:val="007CB7" w:themeColor="background2"/>
      <w:sz w:val="36"/>
      <w:szCs w:val="36"/>
    </w:rPr>
  </w:style>
  <w:style w:type="character" w:customStyle="1" w:styleId="SubtitleChar">
    <w:name w:val="Subtitle Char"/>
    <w:basedOn w:val="DefaultParagraphFont"/>
    <w:link w:val="Subtitle"/>
    <w:uiPriority w:val="11"/>
    <w:rsid w:val="00871B87"/>
    <w:rPr>
      <w:rFonts w:asciiTheme="majorHAnsi" w:hAnsiTheme="majorHAnsi"/>
      <w:color w:val="007CB7" w:themeColor="background2"/>
      <w:sz w:val="36"/>
      <w:szCs w:val="36"/>
    </w:rPr>
  </w:style>
  <w:style w:type="paragraph" w:customStyle="1" w:styleId="LongTitle">
    <w:name w:val="Long Title"/>
    <w:basedOn w:val="Title"/>
    <w:uiPriority w:val="7"/>
    <w:qFormat/>
    <w:rsid w:val="00CC7A48"/>
    <w:pPr>
      <w:ind w:right="0"/>
    </w:pPr>
  </w:style>
  <w:style w:type="paragraph" w:customStyle="1" w:styleId="LongSubtitle">
    <w:name w:val="Long Subtitle"/>
    <w:basedOn w:val="Normal"/>
    <w:uiPriority w:val="6"/>
    <w:qFormat/>
    <w:rsid w:val="00CC7A48"/>
    <w:pPr>
      <w:spacing w:line="420" w:lineRule="exact"/>
    </w:pPr>
    <w:rPr>
      <w:rFonts w:asciiTheme="majorHAnsi" w:hAnsiTheme="majorHAnsi"/>
      <w:color w:val="007CB7" w:themeColor="background2"/>
      <w:sz w:val="36"/>
      <w:szCs w:val="36"/>
    </w:rPr>
  </w:style>
  <w:style w:type="character" w:customStyle="1" w:styleId="Heading1Char">
    <w:name w:val="Heading 1 Char"/>
    <w:basedOn w:val="DefaultParagraphFont"/>
    <w:link w:val="Heading1"/>
    <w:rsid w:val="00511BE7"/>
    <w:rPr>
      <w:rFonts w:asciiTheme="majorHAnsi" w:hAnsiTheme="majorHAnsi"/>
      <w:color w:val="007CB7" w:themeColor="background2"/>
      <w:spacing w:val="-6"/>
      <w:sz w:val="60"/>
      <w:szCs w:val="60"/>
    </w:rPr>
  </w:style>
  <w:style w:type="paragraph" w:customStyle="1" w:styleId="Introduction">
    <w:name w:val="Introduction"/>
    <w:basedOn w:val="Normal"/>
    <w:uiPriority w:val="2"/>
    <w:qFormat/>
    <w:rsid w:val="009B47FC"/>
    <w:pPr>
      <w:spacing w:after="113" w:line="380" w:lineRule="exact"/>
    </w:pPr>
    <w:rPr>
      <w:color w:val="002D64" w:themeColor="text2"/>
      <w:spacing w:val="-8"/>
      <w:sz w:val="32"/>
      <w:szCs w:val="32"/>
    </w:rPr>
  </w:style>
  <w:style w:type="paragraph" w:styleId="BodyText">
    <w:name w:val="Body Text"/>
    <w:basedOn w:val="Normal"/>
    <w:link w:val="BodyTextChar"/>
    <w:uiPriority w:val="3"/>
    <w:qFormat/>
    <w:rsid w:val="00C97601"/>
    <w:pPr>
      <w:spacing w:after="227" w:line="280" w:lineRule="exact"/>
    </w:pPr>
    <w:rPr>
      <w:rFonts w:asciiTheme="majorHAnsi" w:hAnsiTheme="majorHAnsi"/>
      <w:sz w:val="24"/>
    </w:rPr>
  </w:style>
  <w:style w:type="character" w:customStyle="1" w:styleId="BodyTextChar">
    <w:name w:val="Body Text Char"/>
    <w:basedOn w:val="DefaultParagraphFont"/>
    <w:link w:val="BodyText"/>
    <w:uiPriority w:val="3"/>
    <w:rsid w:val="00511BE7"/>
    <w:rPr>
      <w:rFonts w:asciiTheme="majorHAnsi" w:hAnsiTheme="majorHAnsi"/>
      <w:sz w:val="24"/>
    </w:rPr>
  </w:style>
  <w:style w:type="character" w:customStyle="1" w:styleId="Heading2Char">
    <w:name w:val="Heading 2 Char"/>
    <w:basedOn w:val="DefaultParagraphFont"/>
    <w:link w:val="Heading2"/>
    <w:uiPriority w:val="9"/>
    <w:semiHidden/>
    <w:rsid w:val="00511BE7"/>
    <w:rPr>
      <w:rFonts w:asciiTheme="majorHAnsi" w:hAnsiTheme="majorHAnsi"/>
      <w:b/>
      <w:color w:val="002D64" w:themeColor="text2"/>
      <w:sz w:val="24"/>
    </w:rPr>
  </w:style>
  <w:style w:type="paragraph" w:customStyle="1" w:styleId="Sub-head">
    <w:name w:val="Sub-head"/>
    <w:basedOn w:val="Heading2"/>
    <w:uiPriority w:val="1"/>
    <w:qFormat/>
    <w:rsid w:val="00C97601"/>
    <w:pPr>
      <w:spacing w:before="0"/>
    </w:pPr>
  </w:style>
  <w:style w:type="paragraph" w:customStyle="1" w:styleId="SectionTitle">
    <w:name w:val="Section Title"/>
    <w:basedOn w:val="BodyText"/>
    <w:uiPriority w:val="5"/>
    <w:qFormat/>
    <w:rsid w:val="00511BE7"/>
    <w:pPr>
      <w:spacing w:after="57" w:line="560" w:lineRule="exact"/>
    </w:pPr>
    <w:rPr>
      <w:b/>
      <w:noProof/>
      <w:color w:val="002D64" w:themeColor="text2"/>
      <w:sz w:val="48"/>
      <w:szCs w:val="48"/>
      <w:lang w:eastAsia="en-GB"/>
    </w:rPr>
  </w:style>
  <w:style w:type="paragraph" w:customStyle="1" w:styleId="SectionSub-Title">
    <w:name w:val="Section Sub-Title"/>
    <w:basedOn w:val="BodyText"/>
    <w:uiPriority w:val="4"/>
    <w:qFormat/>
    <w:rsid w:val="00511BE7"/>
    <w:pPr>
      <w:spacing w:after="120" w:line="400" w:lineRule="exact"/>
      <w:ind w:right="4393"/>
    </w:pPr>
    <w:rPr>
      <w:color w:val="007CB7" w:themeColor="background2"/>
      <w:sz w:val="36"/>
      <w:szCs w:val="36"/>
    </w:rPr>
  </w:style>
  <w:style w:type="character" w:customStyle="1" w:styleId="Heading3Char">
    <w:name w:val="Heading 3 Char"/>
    <w:basedOn w:val="DefaultParagraphFont"/>
    <w:link w:val="Heading3"/>
    <w:uiPriority w:val="9"/>
    <w:semiHidden/>
    <w:rsid w:val="00511BE7"/>
    <w:rPr>
      <w:rFonts w:asciiTheme="majorHAnsi" w:eastAsiaTheme="majorEastAsia" w:hAnsiTheme="majorHAnsi" w:cstheme="majorBidi"/>
      <w:b/>
      <w:bCs/>
      <w:color w:val="002D64" w:themeColor="accent1"/>
    </w:rPr>
  </w:style>
  <w:style w:type="paragraph" w:styleId="TOC1">
    <w:name w:val="toc 1"/>
    <w:basedOn w:val="Normal"/>
    <w:next w:val="Normal"/>
    <w:autoRedefine/>
    <w:uiPriority w:val="39"/>
    <w:unhideWhenUsed/>
    <w:rsid w:val="001E3F92"/>
    <w:pPr>
      <w:tabs>
        <w:tab w:val="right" w:pos="9628"/>
      </w:tabs>
      <w:spacing w:after="170" w:line="280" w:lineRule="exact"/>
    </w:pPr>
    <w:rPr>
      <w:rFonts w:asciiTheme="majorHAnsi" w:hAnsiTheme="majorHAnsi"/>
      <w:b/>
      <w:noProof/>
      <w:color w:val="007CB7" w:themeColor="background2"/>
      <w:sz w:val="24"/>
      <w:szCs w:val="24"/>
    </w:rPr>
  </w:style>
  <w:style w:type="paragraph" w:styleId="TOC2">
    <w:name w:val="toc 2"/>
    <w:basedOn w:val="Normal"/>
    <w:next w:val="Normal"/>
    <w:autoRedefine/>
    <w:uiPriority w:val="39"/>
    <w:unhideWhenUsed/>
    <w:rsid w:val="001E3F92"/>
    <w:pPr>
      <w:tabs>
        <w:tab w:val="right" w:pos="9628"/>
      </w:tabs>
      <w:spacing w:after="170" w:line="280" w:lineRule="exact"/>
    </w:pPr>
    <w:rPr>
      <w:rFonts w:asciiTheme="majorHAnsi" w:hAnsiTheme="majorHAnsi"/>
      <w:noProof/>
      <w:color w:val="002D64" w:themeColor="text2"/>
      <w:sz w:val="24"/>
      <w:szCs w:val="24"/>
    </w:rPr>
  </w:style>
  <w:style w:type="character" w:styleId="Hyperlink">
    <w:name w:val="Hyperlink"/>
    <w:basedOn w:val="DefaultParagraphFont"/>
    <w:uiPriority w:val="99"/>
    <w:unhideWhenUsed/>
    <w:rsid w:val="00511BE7"/>
    <w:rPr>
      <w:color w:val="002D64" w:themeColor="hyperlink"/>
      <w:u w:val="single"/>
    </w:rPr>
  </w:style>
  <w:style w:type="paragraph" w:customStyle="1" w:styleId="Contents">
    <w:name w:val="Contents"/>
    <w:basedOn w:val="Heading1"/>
    <w:uiPriority w:val="99"/>
    <w:qFormat/>
    <w:rsid w:val="00511BE7"/>
  </w:style>
  <w:style w:type="paragraph" w:customStyle="1" w:styleId="Graphheading">
    <w:name w:val="Graph heading"/>
    <w:basedOn w:val="Heading1"/>
    <w:uiPriority w:val="99"/>
    <w:qFormat/>
    <w:rsid w:val="00511BE7"/>
    <w:rPr>
      <w:noProof/>
      <w:lang w:eastAsia="en-GB"/>
    </w:rPr>
  </w:style>
  <w:style w:type="paragraph" w:styleId="DocumentMap">
    <w:name w:val="Document Map"/>
    <w:basedOn w:val="Normal"/>
    <w:link w:val="DocumentMapChar"/>
    <w:uiPriority w:val="99"/>
    <w:semiHidden/>
    <w:unhideWhenUsed/>
    <w:rsid w:val="00C660E9"/>
    <w:rPr>
      <w:rFonts w:ascii="Lucida Grande" w:hAnsi="Lucida Grande"/>
      <w:sz w:val="24"/>
      <w:szCs w:val="24"/>
    </w:rPr>
  </w:style>
  <w:style w:type="character" w:customStyle="1" w:styleId="DocumentMapChar">
    <w:name w:val="Document Map Char"/>
    <w:basedOn w:val="DefaultParagraphFont"/>
    <w:link w:val="DocumentMap"/>
    <w:uiPriority w:val="99"/>
    <w:semiHidden/>
    <w:rsid w:val="00C660E9"/>
    <w:rPr>
      <w:rFonts w:ascii="Lucida Grande" w:hAnsi="Lucida Grande"/>
      <w:sz w:val="24"/>
      <w:szCs w:val="24"/>
    </w:rPr>
  </w:style>
  <w:style w:type="table" w:styleId="TableGrid">
    <w:name w:val="Table Grid"/>
    <w:basedOn w:val="TableNormal"/>
    <w:uiPriority w:val="59"/>
    <w:rsid w:val="00A426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99"/>
    <w:rsid w:val="00A426C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731780"/>
    <w:pPr>
      <w:ind w:left="720"/>
      <w:contextualSpacing/>
    </w:pPr>
  </w:style>
  <w:style w:type="paragraph" w:customStyle="1" w:styleId="PagesBodytext">
    <w:name w:val="Pages: Body text"/>
    <w:basedOn w:val="Normal"/>
    <w:uiPriority w:val="7"/>
    <w:qFormat/>
    <w:rsid w:val="00FC389E"/>
    <w:pPr>
      <w:spacing w:after="220" w:line="260" w:lineRule="atLeast"/>
    </w:pPr>
    <w:rPr>
      <w:rFonts w:asciiTheme="majorHAnsi" w:hAnsiTheme="majorHAnsi"/>
    </w:rPr>
  </w:style>
  <w:style w:type="character" w:styleId="CommentReference">
    <w:name w:val="annotation reference"/>
    <w:basedOn w:val="DefaultParagraphFont"/>
    <w:uiPriority w:val="99"/>
    <w:semiHidden/>
    <w:unhideWhenUsed/>
    <w:rsid w:val="005078FA"/>
    <w:rPr>
      <w:sz w:val="16"/>
      <w:szCs w:val="16"/>
    </w:rPr>
  </w:style>
  <w:style w:type="paragraph" w:styleId="CommentText">
    <w:name w:val="annotation text"/>
    <w:basedOn w:val="Normal"/>
    <w:link w:val="CommentTextChar"/>
    <w:uiPriority w:val="99"/>
    <w:unhideWhenUsed/>
    <w:rsid w:val="005078FA"/>
    <w:rPr>
      <w:sz w:val="20"/>
      <w:szCs w:val="20"/>
    </w:rPr>
  </w:style>
  <w:style w:type="character" w:customStyle="1" w:styleId="CommentTextChar">
    <w:name w:val="Comment Text Char"/>
    <w:basedOn w:val="DefaultParagraphFont"/>
    <w:link w:val="CommentText"/>
    <w:uiPriority w:val="99"/>
    <w:rsid w:val="005078FA"/>
    <w:rPr>
      <w:sz w:val="20"/>
      <w:szCs w:val="20"/>
    </w:rPr>
  </w:style>
  <w:style w:type="paragraph" w:styleId="CommentSubject">
    <w:name w:val="annotation subject"/>
    <w:basedOn w:val="CommentText"/>
    <w:next w:val="CommentText"/>
    <w:link w:val="CommentSubjectChar"/>
    <w:uiPriority w:val="99"/>
    <w:semiHidden/>
    <w:unhideWhenUsed/>
    <w:rsid w:val="005078FA"/>
    <w:rPr>
      <w:b/>
      <w:bCs/>
    </w:rPr>
  </w:style>
  <w:style w:type="character" w:customStyle="1" w:styleId="CommentSubjectChar">
    <w:name w:val="Comment Subject Char"/>
    <w:basedOn w:val="CommentTextChar"/>
    <w:link w:val="CommentSubject"/>
    <w:uiPriority w:val="99"/>
    <w:semiHidden/>
    <w:rsid w:val="005078FA"/>
    <w:rPr>
      <w:b/>
      <w:bCs/>
      <w:sz w:val="20"/>
      <w:szCs w:val="20"/>
    </w:rPr>
  </w:style>
  <w:style w:type="paragraph" w:customStyle="1" w:styleId="xmsonormal">
    <w:name w:val="x_msonormal"/>
    <w:basedOn w:val="Normal"/>
    <w:rsid w:val="0054798C"/>
    <w:pPr>
      <w:spacing w:before="100" w:beforeAutospacing="1" w:after="100" w:afterAutospacing="1"/>
    </w:pPr>
    <w:rPr>
      <w:rFonts w:ascii="Calibri" w:hAnsi="Calibri" w:cs="Calibri"/>
      <w:lang w:eastAsia="en-GB"/>
    </w:rPr>
  </w:style>
  <w:style w:type="paragraph" w:customStyle="1" w:styleId="xmsolistparagraph">
    <w:name w:val="x_msolistparagraph"/>
    <w:basedOn w:val="Normal"/>
    <w:rsid w:val="0054798C"/>
    <w:pPr>
      <w:spacing w:before="100" w:beforeAutospacing="1" w:after="100" w:afterAutospacing="1"/>
    </w:pPr>
    <w:rPr>
      <w:rFonts w:ascii="Calibri" w:hAnsi="Calibri" w:cs="Calibri"/>
      <w:lang w:eastAsia="en-GB"/>
    </w:rPr>
  </w:style>
  <w:style w:type="character" w:customStyle="1" w:styleId="apple-converted-space">
    <w:name w:val="apple-converted-space"/>
    <w:basedOn w:val="DefaultParagraphFont"/>
    <w:rsid w:val="004708C7"/>
  </w:style>
  <w:style w:type="paragraph" w:customStyle="1" w:styleId="Bulleted">
    <w:name w:val="Bulleted"/>
    <w:basedOn w:val="Normal"/>
    <w:link w:val="BulletedChar"/>
    <w:qFormat/>
    <w:rsid w:val="004708C7"/>
    <w:pPr>
      <w:numPr>
        <w:numId w:val="9"/>
      </w:numPr>
      <w:tabs>
        <w:tab w:val="num" w:pos="357"/>
      </w:tabs>
      <w:spacing w:after="227"/>
      <w:ind w:left="357" w:hanging="357"/>
    </w:pPr>
    <w:rPr>
      <w:rFonts w:asciiTheme="majorHAnsi" w:eastAsia="Batang" w:hAnsiTheme="majorHAnsi" w:cs="Arial"/>
      <w:sz w:val="24"/>
      <w:szCs w:val="24"/>
    </w:rPr>
  </w:style>
  <w:style w:type="character" w:customStyle="1" w:styleId="BulletedChar">
    <w:name w:val="Bulleted Char"/>
    <w:basedOn w:val="DefaultParagraphFont"/>
    <w:link w:val="Bulleted"/>
    <w:rsid w:val="004708C7"/>
    <w:rPr>
      <w:rFonts w:asciiTheme="majorHAnsi" w:eastAsia="Batang" w:hAnsiTheme="majorHAnsi" w:cs="Arial"/>
      <w:sz w:val="24"/>
      <w:szCs w:val="24"/>
    </w:rPr>
  </w:style>
  <w:style w:type="character" w:customStyle="1" w:styleId="field-prefix">
    <w:name w:val="field-prefix"/>
    <w:basedOn w:val="DefaultParagraphFont"/>
    <w:rsid w:val="00A616F7"/>
  </w:style>
  <w:style w:type="character" w:styleId="UnresolvedMention">
    <w:name w:val="Unresolved Mention"/>
    <w:basedOn w:val="DefaultParagraphFont"/>
    <w:uiPriority w:val="99"/>
    <w:semiHidden/>
    <w:unhideWhenUsed/>
    <w:rsid w:val="00A616F7"/>
    <w:rPr>
      <w:color w:val="605E5C"/>
      <w:shd w:val="clear" w:color="auto" w:fill="E1DFDD"/>
    </w:rPr>
  </w:style>
  <w:style w:type="paragraph" w:styleId="NoSpacing">
    <w:name w:val="No Spacing"/>
    <w:uiPriority w:val="1"/>
    <w:qFormat/>
    <w:rsid w:val="00D50DEF"/>
    <w:pPr>
      <w:spacing w:after="0" w:line="240" w:lineRule="auto"/>
    </w:pPr>
  </w:style>
  <w:style w:type="character" w:styleId="Emphasis">
    <w:name w:val="Emphasis"/>
    <w:basedOn w:val="DefaultParagraphFont"/>
    <w:uiPriority w:val="20"/>
    <w:qFormat/>
    <w:rsid w:val="00D50DEF"/>
    <w:rPr>
      <w:i/>
      <w:iCs/>
    </w:rPr>
  </w:style>
  <w:style w:type="character" w:styleId="FollowedHyperlink">
    <w:name w:val="FollowedHyperlink"/>
    <w:basedOn w:val="DefaultParagraphFont"/>
    <w:uiPriority w:val="99"/>
    <w:semiHidden/>
    <w:unhideWhenUsed/>
    <w:rsid w:val="00D50DEF"/>
    <w:rPr>
      <w:color w:val="002D6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264431">
      <w:bodyDiv w:val="1"/>
      <w:marLeft w:val="0"/>
      <w:marRight w:val="0"/>
      <w:marTop w:val="0"/>
      <w:marBottom w:val="0"/>
      <w:divBdr>
        <w:top w:val="none" w:sz="0" w:space="0" w:color="auto"/>
        <w:left w:val="none" w:sz="0" w:space="0" w:color="auto"/>
        <w:bottom w:val="none" w:sz="0" w:space="0" w:color="auto"/>
        <w:right w:val="none" w:sz="0" w:space="0" w:color="auto"/>
      </w:divBdr>
    </w:div>
    <w:div w:id="590090259">
      <w:bodyDiv w:val="1"/>
      <w:marLeft w:val="0"/>
      <w:marRight w:val="0"/>
      <w:marTop w:val="0"/>
      <w:marBottom w:val="0"/>
      <w:divBdr>
        <w:top w:val="none" w:sz="0" w:space="0" w:color="auto"/>
        <w:left w:val="none" w:sz="0" w:space="0" w:color="auto"/>
        <w:bottom w:val="none" w:sz="0" w:space="0" w:color="auto"/>
        <w:right w:val="none" w:sz="0" w:space="0" w:color="auto"/>
      </w:divBdr>
    </w:div>
    <w:div w:id="762185238">
      <w:bodyDiv w:val="1"/>
      <w:marLeft w:val="0"/>
      <w:marRight w:val="0"/>
      <w:marTop w:val="0"/>
      <w:marBottom w:val="0"/>
      <w:divBdr>
        <w:top w:val="none" w:sz="0" w:space="0" w:color="auto"/>
        <w:left w:val="none" w:sz="0" w:space="0" w:color="auto"/>
        <w:bottom w:val="none" w:sz="0" w:space="0" w:color="auto"/>
        <w:right w:val="none" w:sz="0" w:space="0" w:color="auto"/>
      </w:divBdr>
    </w:div>
    <w:div w:id="1231041575">
      <w:bodyDiv w:val="1"/>
      <w:marLeft w:val="0"/>
      <w:marRight w:val="0"/>
      <w:marTop w:val="0"/>
      <w:marBottom w:val="0"/>
      <w:divBdr>
        <w:top w:val="none" w:sz="0" w:space="0" w:color="auto"/>
        <w:left w:val="none" w:sz="0" w:space="0" w:color="auto"/>
        <w:bottom w:val="none" w:sz="0" w:space="0" w:color="auto"/>
        <w:right w:val="none" w:sz="0" w:space="0" w:color="auto"/>
      </w:divBdr>
      <w:divsChild>
        <w:div w:id="1519849136">
          <w:marLeft w:val="0"/>
          <w:marRight w:val="0"/>
          <w:marTop w:val="0"/>
          <w:marBottom w:val="150"/>
          <w:divBdr>
            <w:top w:val="none" w:sz="0" w:space="0" w:color="auto"/>
            <w:left w:val="none" w:sz="0" w:space="0" w:color="auto"/>
            <w:bottom w:val="none" w:sz="0" w:space="0" w:color="auto"/>
            <w:right w:val="none" w:sz="0" w:space="0" w:color="auto"/>
          </w:divBdr>
          <w:divsChild>
            <w:div w:id="294217861">
              <w:marLeft w:val="0"/>
              <w:marRight w:val="0"/>
              <w:marTop w:val="0"/>
              <w:marBottom w:val="0"/>
              <w:divBdr>
                <w:top w:val="none" w:sz="0" w:space="0" w:color="auto"/>
                <w:left w:val="none" w:sz="0" w:space="0" w:color="auto"/>
                <w:bottom w:val="none" w:sz="0" w:space="0" w:color="auto"/>
                <w:right w:val="none" w:sz="0" w:space="0" w:color="auto"/>
              </w:divBdr>
            </w:div>
          </w:divsChild>
        </w:div>
        <w:div w:id="1990398274">
          <w:marLeft w:val="0"/>
          <w:marRight w:val="0"/>
          <w:marTop w:val="0"/>
          <w:marBottom w:val="150"/>
          <w:divBdr>
            <w:top w:val="none" w:sz="0" w:space="0" w:color="auto"/>
            <w:left w:val="none" w:sz="0" w:space="0" w:color="auto"/>
            <w:bottom w:val="none" w:sz="0" w:space="0" w:color="auto"/>
            <w:right w:val="none" w:sz="0" w:space="0" w:color="auto"/>
          </w:divBdr>
        </w:div>
        <w:div w:id="251546251">
          <w:marLeft w:val="0"/>
          <w:marRight w:val="0"/>
          <w:marTop w:val="0"/>
          <w:marBottom w:val="150"/>
          <w:divBdr>
            <w:top w:val="none" w:sz="0" w:space="0" w:color="auto"/>
            <w:left w:val="none" w:sz="0" w:space="0" w:color="auto"/>
            <w:bottom w:val="none" w:sz="0" w:space="0" w:color="auto"/>
            <w:right w:val="none" w:sz="0" w:space="0" w:color="auto"/>
          </w:divBdr>
        </w:div>
        <w:div w:id="2030788622">
          <w:marLeft w:val="0"/>
          <w:marRight w:val="0"/>
          <w:marTop w:val="0"/>
          <w:marBottom w:val="150"/>
          <w:divBdr>
            <w:top w:val="none" w:sz="0" w:space="0" w:color="auto"/>
            <w:left w:val="none" w:sz="0" w:space="0" w:color="auto"/>
            <w:bottom w:val="none" w:sz="0" w:space="0" w:color="auto"/>
            <w:right w:val="none" w:sz="0" w:space="0" w:color="auto"/>
          </w:divBdr>
          <w:divsChild>
            <w:div w:id="1381786200">
              <w:marLeft w:val="0"/>
              <w:marRight w:val="0"/>
              <w:marTop w:val="0"/>
              <w:marBottom w:val="0"/>
              <w:divBdr>
                <w:top w:val="none" w:sz="0" w:space="0" w:color="auto"/>
                <w:left w:val="none" w:sz="0" w:space="0" w:color="auto"/>
                <w:bottom w:val="none" w:sz="0" w:space="0" w:color="auto"/>
                <w:right w:val="none" w:sz="0" w:space="0" w:color="auto"/>
              </w:divBdr>
            </w:div>
          </w:divsChild>
        </w:div>
        <w:div w:id="512183322">
          <w:marLeft w:val="0"/>
          <w:marRight w:val="0"/>
          <w:marTop w:val="0"/>
          <w:marBottom w:val="150"/>
          <w:divBdr>
            <w:top w:val="none" w:sz="0" w:space="0" w:color="auto"/>
            <w:left w:val="none" w:sz="0" w:space="0" w:color="auto"/>
            <w:bottom w:val="none" w:sz="0" w:space="0" w:color="auto"/>
            <w:right w:val="none" w:sz="0" w:space="0" w:color="auto"/>
          </w:divBdr>
        </w:div>
        <w:div w:id="952904305">
          <w:marLeft w:val="0"/>
          <w:marRight w:val="0"/>
          <w:marTop w:val="0"/>
          <w:marBottom w:val="150"/>
          <w:divBdr>
            <w:top w:val="none" w:sz="0" w:space="0" w:color="auto"/>
            <w:left w:val="none" w:sz="0" w:space="0" w:color="auto"/>
            <w:bottom w:val="none" w:sz="0" w:space="0" w:color="auto"/>
            <w:right w:val="none" w:sz="0" w:space="0" w:color="auto"/>
          </w:divBdr>
          <w:divsChild>
            <w:div w:id="635767486">
              <w:marLeft w:val="0"/>
              <w:marRight w:val="0"/>
              <w:marTop w:val="0"/>
              <w:marBottom w:val="0"/>
              <w:divBdr>
                <w:top w:val="none" w:sz="0" w:space="0" w:color="auto"/>
                <w:left w:val="none" w:sz="0" w:space="0" w:color="auto"/>
                <w:bottom w:val="none" w:sz="0" w:space="0" w:color="auto"/>
                <w:right w:val="none" w:sz="0" w:space="0" w:color="auto"/>
              </w:divBdr>
            </w:div>
          </w:divsChild>
        </w:div>
        <w:div w:id="640040991">
          <w:marLeft w:val="0"/>
          <w:marRight w:val="0"/>
          <w:marTop w:val="0"/>
          <w:marBottom w:val="150"/>
          <w:divBdr>
            <w:top w:val="none" w:sz="0" w:space="0" w:color="auto"/>
            <w:left w:val="none" w:sz="0" w:space="0" w:color="auto"/>
            <w:bottom w:val="none" w:sz="0" w:space="0" w:color="auto"/>
            <w:right w:val="none" w:sz="0" w:space="0" w:color="auto"/>
          </w:divBdr>
          <w:divsChild>
            <w:div w:id="1223180337">
              <w:marLeft w:val="0"/>
              <w:marRight w:val="0"/>
              <w:marTop w:val="0"/>
              <w:marBottom w:val="0"/>
              <w:divBdr>
                <w:top w:val="none" w:sz="0" w:space="0" w:color="auto"/>
                <w:left w:val="none" w:sz="0" w:space="0" w:color="auto"/>
                <w:bottom w:val="none" w:sz="0" w:space="0" w:color="auto"/>
                <w:right w:val="none" w:sz="0" w:space="0" w:color="auto"/>
              </w:divBdr>
            </w:div>
          </w:divsChild>
        </w:div>
        <w:div w:id="624891175">
          <w:marLeft w:val="0"/>
          <w:marRight w:val="0"/>
          <w:marTop w:val="0"/>
          <w:marBottom w:val="150"/>
          <w:divBdr>
            <w:top w:val="none" w:sz="0" w:space="0" w:color="auto"/>
            <w:left w:val="none" w:sz="0" w:space="0" w:color="auto"/>
            <w:bottom w:val="none" w:sz="0" w:space="0" w:color="auto"/>
            <w:right w:val="none" w:sz="0" w:space="0" w:color="auto"/>
          </w:divBdr>
          <w:divsChild>
            <w:div w:id="245237915">
              <w:marLeft w:val="0"/>
              <w:marRight w:val="0"/>
              <w:marTop w:val="0"/>
              <w:marBottom w:val="0"/>
              <w:divBdr>
                <w:top w:val="none" w:sz="0" w:space="0" w:color="auto"/>
                <w:left w:val="none" w:sz="0" w:space="0" w:color="auto"/>
                <w:bottom w:val="none" w:sz="0" w:space="0" w:color="auto"/>
                <w:right w:val="none" w:sz="0" w:space="0" w:color="auto"/>
              </w:divBdr>
            </w:div>
          </w:divsChild>
        </w:div>
        <w:div w:id="829562965">
          <w:marLeft w:val="0"/>
          <w:marRight w:val="0"/>
          <w:marTop w:val="0"/>
          <w:marBottom w:val="150"/>
          <w:divBdr>
            <w:top w:val="none" w:sz="0" w:space="0" w:color="auto"/>
            <w:left w:val="none" w:sz="0" w:space="0" w:color="auto"/>
            <w:bottom w:val="none" w:sz="0" w:space="0" w:color="auto"/>
            <w:right w:val="none" w:sz="0" w:space="0" w:color="auto"/>
          </w:divBdr>
          <w:divsChild>
            <w:div w:id="398749068">
              <w:marLeft w:val="0"/>
              <w:marRight w:val="0"/>
              <w:marTop w:val="0"/>
              <w:marBottom w:val="0"/>
              <w:divBdr>
                <w:top w:val="none" w:sz="0" w:space="0" w:color="auto"/>
                <w:left w:val="none" w:sz="0" w:space="0" w:color="auto"/>
                <w:bottom w:val="none" w:sz="0" w:space="0" w:color="auto"/>
                <w:right w:val="none" w:sz="0" w:space="0" w:color="auto"/>
              </w:divBdr>
            </w:div>
          </w:divsChild>
        </w:div>
        <w:div w:id="771977472">
          <w:marLeft w:val="0"/>
          <w:marRight w:val="0"/>
          <w:marTop w:val="0"/>
          <w:marBottom w:val="150"/>
          <w:divBdr>
            <w:top w:val="none" w:sz="0" w:space="0" w:color="auto"/>
            <w:left w:val="none" w:sz="0" w:space="0" w:color="auto"/>
            <w:bottom w:val="none" w:sz="0" w:space="0" w:color="auto"/>
            <w:right w:val="none" w:sz="0" w:space="0" w:color="auto"/>
          </w:divBdr>
          <w:divsChild>
            <w:div w:id="160885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4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rsu.shinyapps.io/dta_m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ihrcrsu.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thods.cochrane.org/file/terms-referenc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rsu.shinyapps.io/metainsightc/"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handler\Dropbox%20(Cochrane)\Jackie's%20work%20folder\BRANDING%20LOGOS\Guidance%20and%20other%20logos\Cochrane%20Community%20Cyan%20templates%20unzipped\wordreport_cyan_templates\Portrait%20report%20templates\Community_portrait_report_cyan.dotx" TargetMode="External"/></Relationships>
</file>

<file path=word/theme/theme1.xml><?xml version="1.0" encoding="utf-8"?>
<a:theme xmlns:a="http://schemas.openxmlformats.org/drawingml/2006/main" name="Office Theme">
  <a:themeElements>
    <a:clrScheme name="Cochrane  CMYK cyan colour palette">
      <a:dk1>
        <a:srgbClr val="000000"/>
      </a:dk1>
      <a:lt1>
        <a:srgbClr val="FFFFFF"/>
      </a:lt1>
      <a:dk2>
        <a:srgbClr val="002D64"/>
      </a:dk2>
      <a:lt2>
        <a:srgbClr val="007CB7"/>
      </a:lt2>
      <a:accent1>
        <a:srgbClr val="002D64"/>
      </a:accent1>
      <a:accent2>
        <a:srgbClr val="007CB7"/>
      </a:accent2>
      <a:accent3>
        <a:srgbClr val="696969"/>
      </a:accent3>
      <a:accent4>
        <a:srgbClr val="999999"/>
      </a:accent4>
      <a:accent5>
        <a:srgbClr val="CCCCCC"/>
      </a:accent5>
      <a:accent6>
        <a:srgbClr val="E6E6E6"/>
      </a:accent6>
      <a:hlink>
        <a:srgbClr val="002D64"/>
      </a:hlink>
      <a:folHlink>
        <a:srgbClr val="002D64"/>
      </a:folHlink>
    </a:clrScheme>
    <a:fontScheme name="Cochrane">
      <a:majorFont>
        <a:latin typeface="Source Sans Pro"/>
        <a:ea typeface=""/>
        <a:cs typeface=""/>
      </a:majorFont>
      <a:minorFont>
        <a:latin typeface="Source Sans Pro Semibol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61369-E541-4ABC-A068-7818AA79B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Community_portrait_report_cyan.dotx</Template>
  <TotalTime>9</TotalTime>
  <Pages>9</Pages>
  <Words>2636</Words>
  <Characters>15029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Chandler</dc:creator>
  <cp:lastModifiedBy>Ella Flemyng</cp:lastModifiedBy>
  <cp:revision>5</cp:revision>
  <dcterms:created xsi:type="dcterms:W3CDTF">2019-06-11T14:40:00Z</dcterms:created>
  <dcterms:modified xsi:type="dcterms:W3CDTF">2019-06-14T10:42:00Z</dcterms:modified>
</cp:coreProperties>
</file>